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21682B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г.Владикавказ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Ассоциация «Саморегулируемая организация «Республиканское объединение строителей Алании»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троительство, реконструкция, капитальный ремонт зданий и сооружений 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DB3C3A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Тавитов А.Н.; Кастуев О.Д.; Харебов А.Л.; Бирагов Г.М.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234CFD" w:rsidRDefault="00387391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8(86-72) 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51-92-28;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8(86-72) </w:t>
            </w:r>
            <w:r w:rsidR="00234CFD">
              <w:rPr>
                <w:rFonts w:ascii="Times New Roman" w:hAnsi="Times New Roman"/>
                <w:sz w:val="24"/>
                <w:szCs w:val="20"/>
              </w:rPr>
              <w:t>51-99-02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D371F" w:rsidRPr="00FD371F" w:rsidRDefault="005E66A4" w:rsidP="00FD371F">
            <w:pPr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info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npsrorosa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  <w:r w:rsidR="00FD371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hyperlink r:id="rId10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atavitov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yandex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</w:p>
        </w:tc>
      </w:tr>
    </w:tbl>
    <w:p w:rsidR="00985FDD" w:rsidRPr="00EE4BC8" w:rsidRDefault="00985FDD" w:rsidP="00985FDD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985FDD" w:rsidRPr="00EE4BC8" w:rsidRDefault="00985FDD" w:rsidP="00985FDD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« ___  » _________20___ г.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Минэкономразвития</w:t>
            </w:r>
          </w:p>
          <w:p w:rsidR="00985FDD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РСО-Алания</w:t>
            </w:r>
            <w:r w:rsidRPr="00EE4BC8">
              <w:rPr>
                <w:rFonts w:ascii="Times New Roman" w:hAnsi="Times New Roman"/>
              </w:rPr>
              <w:t xml:space="preserve"> 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4BC8">
              <w:rPr>
                <w:rFonts w:ascii="Times New Roman" w:hAnsi="Times New Roman"/>
              </w:rPr>
              <w:t>Цориева</w:t>
            </w:r>
            <w:proofErr w:type="spellEnd"/>
            <w:r w:rsidRPr="00EE4BC8">
              <w:rPr>
                <w:rFonts w:ascii="Times New Roman" w:hAnsi="Times New Roman"/>
              </w:rPr>
              <w:t xml:space="preserve"> </w:t>
            </w:r>
            <w:proofErr w:type="spellStart"/>
            <w:r w:rsidRPr="00EE4BC8">
              <w:rPr>
                <w:rFonts w:ascii="Times New Roman" w:hAnsi="Times New Roman"/>
              </w:rPr>
              <w:t>Алета</w:t>
            </w:r>
            <w:proofErr w:type="spellEnd"/>
            <w:r w:rsidRPr="00EE4BC8">
              <w:rPr>
                <w:rFonts w:ascii="Times New Roman" w:hAnsi="Times New Roman"/>
              </w:rPr>
              <w:t xml:space="preserve"> </w:t>
            </w:r>
            <w:proofErr w:type="spellStart"/>
            <w:r w:rsidRPr="00EE4BC8">
              <w:rPr>
                <w:rFonts w:ascii="Times New Roman" w:hAnsi="Times New Roman"/>
              </w:rPr>
              <w:t>Таймуразовна</w:t>
            </w:r>
            <w:proofErr w:type="spellEnd"/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57452" w:rsidRPr="00B4279A" w:rsidRDefault="00957452" w:rsidP="0086428B">
            <w:pPr>
              <w:pStyle w:val="ConsPlusNormal"/>
              <w:jc w:val="center"/>
              <w:rPr>
                <w:sz w:val="24"/>
                <w:szCs w:val="24"/>
              </w:rPr>
            </w:pPr>
            <w:r w:rsidRPr="00B4279A">
              <w:rPr>
                <w:sz w:val="24"/>
                <w:szCs w:val="24"/>
              </w:rPr>
              <w:t>Разработка унифицированных (типовых) контрактов на выполнение строительн</w:t>
            </w:r>
            <w:r w:rsidR="0086428B">
              <w:rPr>
                <w:sz w:val="24"/>
                <w:szCs w:val="24"/>
              </w:rPr>
              <w:t xml:space="preserve">ого контроля </w:t>
            </w:r>
            <w:r w:rsidRPr="00B4279A">
              <w:rPr>
                <w:sz w:val="24"/>
                <w:szCs w:val="24"/>
              </w:rPr>
              <w:t xml:space="preserve">в части совершенствование  и  развития контрактной системы </w:t>
            </w:r>
          </w:p>
        </w:tc>
      </w:tr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86428B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86428B">
              <w:rPr>
                <w:rFonts w:ascii="Times New Roman" w:hAnsi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86428B" w:rsidRDefault="00985FDD" w:rsidP="00957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8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57452" w:rsidRPr="0086428B">
              <w:rPr>
                <w:rFonts w:ascii="Times New Roman" w:hAnsi="Times New Roman"/>
                <w:sz w:val="24"/>
                <w:szCs w:val="24"/>
              </w:rPr>
              <w:t xml:space="preserve">типового государственного (муниципального) контракта </w:t>
            </w:r>
            <w:r w:rsidR="0086428B" w:rsidRPr="0086428B">
              <w:rPr>
                <w:rFonts w:ascii="Times New Roman" w:hAnsi="Times New Roman"/>
                <w:sz w:val="24"/>
                <w:szCs w:val="24"/>
              </w:rPr>
              <w:t>на осуществление строительного контроля в отношении объекта гражданского назначения</w:t>
            </w:r>
          </w:p>
        </w:tc>
      </w:tr>
      <w:tr w:rsidR="008D1266" w:rsidRPr="00B4279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B4279A" w:rsidRDefault="005F3A4F" w:rsidP="005F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9A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</w:tc>
      </w:tr>
      <w:tr w:rsidR="008D1266" w:rsidRPr="00B4279A" w:rsidTr="00957452">
        <w:trPr>
          <w:trHeight w:val="22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B4279A" w:rsidRDefault="008D1266" w:rsidP="008D12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7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B427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427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86428B" w:rsidRDefault="0086428B" w:rsidP="008D1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428B">
              <w:rPr>
                <w:rFonts w:ascii="Times New Roman" w:hAnsi="Times New Roman"/>
                <w:sz w:val="24"/>
                <w:szCs w:val="24"/>
              </w:rPr>
              <w:t>02/08/02-16/00045751</w:t>
            </w:r>
          </w:p>
        </w:tc>
      </w:tr>
    </w:tbl>
    <w:p w:rsidR="0002027F" w:rsidRDefault="0002027F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95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актуальна и п</w:t>
            </w:r>
            <w:r w:rsidR="005F3A4F">
              <w:rPr>
                <w:rFonts w:ascii="Times New Roman" w:hAnsi="Times New Roman"/>
                <w:sz w:val="24"/>
                <w:szCs w:val="24"/>
              </w:rPr>
              <w:t xml:space="preserve">ринятие данного проекта позволит </w:t>
            </w:r>
            <w:r w:rsidR="00957452">
              <w:rPr>
                <w:rFonts w:ascii="Times New Roman" w:hAnsi="Times New Roman"/>
                <w:sz w:val="24"/>
                <w:szCs w:val="24"/>
              </w:rPr>
              <w:t>всем участникам государственных  и муниципальных заказов (заказчикам, подрядчикам) играть по одним и общим правилам, установленного государством.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7EB9" w:rsidRPr="00EE4BC8" w:rsidRDefault="00FA7EB9" w:rsidP="00AB3B81">
            <w:pPr>
              <w:rPr>
                <w:rFonts w:ascii="Times New Roman" w:hAnsi="Times New Roman"/>
                <w:sz w:val="24"/>
                <w:szCs w:val="24"/>
              </w:rPr>
            </w:pPr>
            <w:r w:rsidRPr="00FA7EB9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="0002027F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Правительство РФ уменьшить административные барьеры в указан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н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ой сфере регулирования и даст 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957452">
              <w:rPr>
                <w:rFonts w:ascii="Times New Roman" w:hAnsi="Times New Roman"/>
                <w:sz w:val="24"/>
                <w:szCs w:val="24"/>
              </w:rPr>
              <w:t xml:space="preserve">в области государственных </w:t>
            </w:r>
            <w:r w:rsidR="00AB3B81">
              <w:rPr>
                <w:rFonts w:ascii="Times New Roman" w:hAnsi="Times New Roman"/>
                <w:sz w:val="24"/>
                <w:szCs w:val="24"/>
              </w:rPr>
              <w:t>закупок путем про писания  общих правил игры в области строительства.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AB3B81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81">
              <w:rPr>
                <w:rFonts w:ascii="Times New Roman" w:hAnsi="Times New Roman"/>
                <w:sz w:val="24"/>
                <w:szCs w:val="24"/>
              </w:rPr>
              <w:t>Представленная редакция проекта договора нацелена на однобокую защиту прав заказчика в лице государственных и муниципальных органов, при этом соблюдения прав и интересов подрядчика минимизированы, что недопустимо условиях рыночной экономики.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807D7" w:rsidP="001E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содерж</w:t>
            </w:r>
            <w:r w:rsidR="001E18B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но имеются замечаний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="001E1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указаны ниже.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24A20" w:rsidRPr="00EE4BC8" w:rsidRDefault="00226FA7" w:rsidP="00724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713262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0A1C4D" w:rsidRDefault="000A1C4D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92F" w:rsidRPr="001F7E48" w:rsidRDefault="008E1DD7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имеются следующие замечания</w:t>
      </w:r>
      <w:r w:rsidR="0079692F" w:rsidRPr="001F7E48">
        <w:rPr>
          <w:rFonts w:ascii="Times New Roman" w:hAnsi="Times New Roman" w:cs="Times New Roman"/>
          <w:sz w:val="24"/>
          <w:szCs w:val="24"/>
        </w:rPr>
        <w:t>:</w:t>
      </w:r>
    </w:p>
    <w:p w:rsidR="000A1C4D" w:rsidRDefault="000A1C4D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B45" w:rsidRPr="001F7E48" w:rsidRDefault="00E951E9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1. </w:t>
      </w:r>
      <w:r w:rsidR="001952AA">
        <w:rPr>
          <w:rFonts w:ascii="Times New Roman" w:hAnsi="Times New Roman" w:cs="Times New Roman"/>
          <w:sz w:val="24"/>
          <w:szCs w:val="24"/>
        </w:rPr>
        <w:t>В</w:t>
      </w:r>
      <w:r w:rsidR="00AB3B81" w:rsidRPr="001F7E48">
        <w:rPr>
          <w:rFonts w:ascii="Times New Roman" w:hAnsi="Times New Roman" w:cs="Times New Roman"/>
          <w:sz w:val="24"/>
          <w:szCs w:val="24"/>
        </w:rPr>
        <w:t xml:space="preserve"> разделе  «Термины и определения»</w:t>
      </w:r>
      <w:r w:rsidR="00953B45" w:rsidRPr="001F7E48">
        <w:rPr>
          <w:rFonts w:ascii="Times New Roman" w:hAnsi="Times New Roman" w:cs="Times New Roman"/>
          <w:sz w:val="24"/>
          <w:szCs w:val="24"/>
        </w:rPr>
        <w:t>: нет смысла давать расшифровки общеизвестных формулировок</w:t>
      </w:r>
      <w:r w:rsidR="008E1DD7">
        <w:rPr>
          <w:rFonts w:ascii="Times New Roman" w:hAnsi="Times New Roman" w:cs="Times New Roman"/>
          <w:sz w:val="24"/>
          <w:szCs w:val="24"/>
        </w:rPr>
        <w:t>,</w:t>
      </w:r>
      <w:r w:rsidR="00953B45" w:rsidRPr="001F7E48">
        <w:rPr>
          <w:rFonts w:ascii="Times New Roman" w:hAnsi="Times New Roman" w:cs="Times New Roman"/>
          <w:sz w:val="24"/>
          <w:szCs w:val="24"/>
        </w:rPr>
        <w:t xml:space="preserve"> понятие которых дается в других нормативно-правовых актах, а именно: </w:t>
      </w:r>
      <w:r w:rsidR="0086428B">
        <w:rPr>
          <w:rFonts w:ascii="Times New Roman" w:hAnsi="Times New Roman" w:cs="Times New Roman"/>
          <w:b/>
          <w:sz w:val="24"/>
          <w:szCs w:val="24"/>
        </w:rPr>
        <w:t xml:space="preserve">«Законодательство» и </w:t>
      </w:r>
      <w:r w:rsidR="00574695" w:rsidRPr="0086428B">
        <w:rPr>
          <w:rFonts w:ascii="Times New Roman" w:hAnsi="Times New Roman" w:cs="Times New Roman"/>
          <w:b/>
          <w:sz w:val="24"/>
          <w:szCs w:val="24"/>
        </w:rPr>
        <w:t>«Проектная документация»</w:t>
      </w:r>
      <w:r w:rsidR="00953B45" w:rsidRPr="0086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95" w:rsidRPr="0086428B">
        <w:rPr>
          <w:rFonts w:ascii="Times New Roman" w:hAnsi="Times New Roman" w:cs="Times New Roman"/>
          <w:b/>
          <w:sz w:val="24"/>
          <w:szCs w:val="24"/>
        </w:rPr>
        <w:t>(ГрК)</w:t>
      </w:r>
      <w:r w:rsidR="0086428B">
        <w:rPr>
          <w:rFonts w:ascii="Times New Roman" w:hAnsi="Times New Roman" w:cs="Times New Roman"/>
          <w:sz w:val="24"/>
          <w:szCs w:val="24"/>
        </w:rPr>
        <w:t>.</w:t>
      </w:r>
    </w:p>
    <w:p w:rsidR="000A1C4D" w:rsidRDefault="000A1C4D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A2A" w:rsidRPr="007D6A2A" w:rsidRDefault="00574695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2A">
        <w:rPr>
          <w:rFonts w:ascii="Times New Roman" w:hAnsi="Times New Roman" w:cs="Times New Roman"/>
          <w:sz w:val="24"/>
          <w:szCs w:val="24"/>
        </w:rPr>
        <w:t xml:space="preserve">2. </w:t>
      </w:r>
      <w:r w:rsidR="00D126B9">
        <w:rPr>
          <w:rFonts w:ascii="Times New Roman" w:hAnsi="Times New Roman" w:cs="Times New Roman"/>
          <w:sz w:val="24"/>
          <w:szCs w:val="24"/>
        </w:rPr>
        <w:t>Ввиду</w:t>
      </w:r>
      <w:r w:rsidR="007D6A2A" w:rsidRPr="001F7E48">
        <w:rPr>
          <w:rFonts w:ascii="Times New Roman" w:hAnsi="Times New Roman" w:cs="Times New Roman"/>
          <w:sz w:val="24"/>
          <w:szCs w:val="24"/>
        </w:rPr>
        <w:t xml:space="preserve"> предстоящих изменени</w:t>
      </w:r>
      <w:r w:rsidR="00D126B9">
        <w:rPr>
          <w:rFonts w:ascii="Times New Roman" w:hAnsi="Times New Roman" w:cs="Times New Roman"/>
          <w:sz w:val="24"/>
          <w:szCs w:val="24"/>
        </w:rPr>
        <w:t>й</w:t>
      </w:r>
      <w:r w:rsidR="007D6A2A" w:rsidRPr="001F7E48">
        <w:rPr>
          <w:rFonts w:ascii="Times New Roman" w:hAnsi="Times New Roman" w:cs="Times New Roman"/>
          <w:sz w:val="24"/>
          <w:szCs w:val="24"/>
        </w:rPr>
        <w:t xml:space="preserve"> в Градостроительный кодекс РФ </w:t>
      </w:r>
      <w:r w:rsidR="007D6A2A">
        <w:rPr>
          <w:rFonts w:ascii="Times New Roman" w:hAnsi="Times New Roman" w:cs="Times New Roman"/>
          <w:sz w:val="24"/>
          <w:szCs w:val="24"/>
        </w:rPr>
        <w:t>в</w:t>
      </w:r>
      <w:r w:rsidR="007D6A2A" w:rsidRPr="007D6A2A">
        <w:rPr>
          <w:rFonts w:ascii="Times New Roman" w:hAnsi="Times New Roman" w:cs="Times New Roman"/>
          <w:sz w:val="24"/>
          <w:szCs w:val="24"/>
        </w:rPr>
        <w:t xml:space="preserve"> п.2.3</w:t>
      </w:r>
      <w:r w:rsidR="007D6A2A">
        <w:rPr>
          <w:rFonts w:ascii="Times New Roman" w:hAnsi="Times New Roman" w:cs="Times New Roman"/>
          <w:sz w:val="24"/>
          <w:szCs w:val="24"/>
        </w:rPr>
        <w:t xml:space="preserve"> </w:t>
      </w:r>
      <w:r w:rsidR="00D126B9">
        <w:rPr>
          <w:rFonts w:ascii="Times New Roman" w:hAnsi="Times New Roman" w:cs="Times New Roman"/>
          <w:sz w:val="24"/>
          <w:szCs w:val="24"/>
        </w:rPr>
        <w:t xml:space="preserve">необходимо добавить </w:t>
      </w:r>
      <w:r w:rsidR="007D6A2A" w:rsidRPr="007D6A2A">
        <w:rPr>
          <w:rFonts w:ascii="Times New Roman" w:hAnsi="Times New Roman" w:cs="Times New Roman"/>
          <w:sz w:val="24"/>
          <w:szCs w:val="24"/>
        </w:rPr>
        <w:t xml:space="preserve"> норму «</w:t>
      </w:r>
      <w:r w:rsidR="007D6A2A" w:rsidRPr="007D6A2A">
        <w:rPr>
          <w:rFonts w:ascii="Times New Roman" w:hAnsi="Times New Roman" w:cs="Times New Roman"/>
          <w:spacing w:val="-4"/>
          <w:sz w:val="24"/>
          <w:szCs w:val="24"/>
        </w:rPr>
        <w:t>документами в области стандартизации (в том числе стандартам саморегулируемых организаций, национальных объединений саморегулируемых организаций), в результате  применения которых обеспечивает</w:t>
      </w:r>
      <w:r w:rsidR="00D126B9">
        <w:rPr>
          <w:rFonts w:ascii="Times New Roman" w:hAnsi="Times New Roman" w:cs="Times New Roman"/>
          <w:spacing w:val="-4"/>
          <w:sz w:val="24"/>
          <w:szCs w:val="24"/>
        </w:rPr>
        <w:t>ся соблюдение требований применяе</w:t>
      </w:r>
      <w:r w:rsidR="007D6A2A" w:rsidRPr="007D6A2A">
        <w:rPr>
          <w:rFonts w:ascii="Times New Roman" w:hAnsi="Times New Roman" w:cs="Times New Roman"/>
          <w:spacing w:val="-4"/>
          <w:sz w:val="24"/>
          <w:szCs w:val="24"/>
        </w:rPr>
        <w:t>мых технических регламентов, действующих на территории Российской Федерации;</w:t>
      </w:r>
    </w:p>
    <w:p w:rsidR="000A1C4D" w:rsidRDefault="000A1C4D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E951E9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 xml:space="preserve">3. По тексту, где не указаны сроки </w:t>
      </w:r>
      <w:proofErr w:type="gramStart"/>
      <w:r w:rsidRPr="001F7E48"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 w:rsidRPr="001F7E48">
        <w:rPr>
          <w:rFonts w:ascii="Times New Roman" w:hAnsi="Times New Roman" w:cs="Times New Roman"/>
          <w:sz w:val="24"/>
          <w:szCs w:val="24"/>
        </w:rPr>
        <w:t xml:space="preserve"> конкретные разумные сроки.</w:t>
      </w:r>
    </w:p>
    <w:p w:rsidR="000A1C4D" w:rsidRDefault="000A1C4D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E9" w:rsidRPr="001F7E48" w:rsidRDefault="00E951E9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48">
        <w:rPr>
          <w:rFonts w:ascii="Times New Roman" w:hAnsi="Times New Roman" w:cs="Times New Roman"/>
          <w:sz w:val="24"/>
          <w:szCs w:val="24"/>
        </w:rPr>
        <w:t>4. По тексту контракта, где указанно «незамедлительно» указать конкретный срок.</w:t>
      </w:r>
    </w:p>
    <w:p w:rsidR="000A1C4D" w:rsidRDefault="000A1C4D" w:rsidP="00402BB4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BB4" w:rsidRPr="001F7E48" w:rsidRDefault="00402BB4" w:rsidP="00402BB4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7E48">
        <w:rPr>
          <w:rFonts w:ascii="Times New Roman" w:hAnsi="Times New Roman" w:cs="Times New Roman"/>
          <w:sz w:val="24"/>
          <w:szCs w:val="24"/>
        </w:rPr>
        <w:t>. Предусмотреть возможность обязательного авансирования стоимости работ.</w:t>
      </w:r>
    </w:p>
    <w:p w:rsidR="000A1C4D" w:rsidRDefault="000A1C4D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A2A" w:rsidRDefault="00402BB4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п.6.1. указать электронную почту.</w:t>
      </w:r>
    </w:p>
    <w:p w:rsidR="000A1C4D" w:rsidRDefault="000A1C4D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BB4" w:rsidRDefault="00402BB4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26B9">
        <w:rPr>
          <w:rFonts w:ascii="Times New Roman" w:hAnsi="Times New Roman" w:cs="Times New Roman"/>
          <w:sz w:val="24"/>
          <w:szCs w:val="24"/>
        </w:rPr>
        <w:t xml:space="preserve">Ввиду </w:t>
      </w:r>
      <w:r w:rsidRPr="001F7E48">
        <w:rPr>
          <w:rFonts w:ascii="Times New Roman" w:hAnsi="Times New Roman" w:cs="Times New Roman"/>
          <w:sz w:val="24"/>
          <w:szCs w:val="24"/>
        </w:rPr>
        <w:t>предстоящих изменени</w:t>
      </w:r>
      <w:r w:rsidR="00D126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Градостроительный кодекс РФ </w:t>
      </w:r>
      <w:r w:rsidR="00D126B9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указать, что «услуги» оказыва</w:t>
      </w:r>
      <w:r w:rsidR="003873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только лицами</w:t>
      </w:r>
      <w:r w:rsidR="0038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8739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указал подрядчик в саморегулируемую  организацию</w:t>
      </w:r>
      <w:r w:rsidR="00D126B9">
        <w:rPr>
          <w:rFonts w:ascii="Times New Roman" w:hAnsi="Times New Roman" w:cs="Times New Roman"/>
          <w:sz w:val="24"/>
          <w:szCs w:val="24"/>
        </w:rPr>
        <w:t>, как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за безопасность выполнения строительных работ.</w:t>
      </w:r>
    </w:p>
    <w:p w:rsidR="000A1C4D" w:rsidRDefault="000A1C4D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E2E" w:rsidRDefault="0022709B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4A5B">
        <w:rPr>
          <w:rFonts w:ascii="Times New Roman" w:hAnsi="Times New Roman" w:cs="Times New Roman"/>
          <w:sz w:val="24"/>
          <w:szCs w:val="24"/>
        </w:rPr>
        <w:t xml:space="preserve">. Пункт 10.14 следует </w:t>
      </w:r>
      <w:r w:rsidR="00606950">
        <w:rPr>
          <w:rFonts w:ascii="Times New Roman" w:hAnsi="Times New Roman" w:cs="Times New Roman"/>
          <w:sz w:val="24"/>
          <w:szCs w:val="24"/>
        </w:rPr>
        <w:t>исключить</w:t>
      </w:r>
      <w:r w:rsidR="00D126B9">
        <w:rPr>
          <w:rFonts w:ascii="Times New Roman" w:hAnsi="Times New Roman" w:cs="Times New Roman"/>
          <w:sz w:val="24"/>
          <w:szCs w:val="24"/>
        </w:rPr>
        <w:t>,</w:t>
      </w:r>
      <w:r w:rsidR="00606950">
        <w:rPr>
          <w:rFonts w:ascii="Times New Roman" w:hAnsi="Times New Roman" w:cs="Times New Roman"/>
          <w:sz w:val="24"/>
          <w:szCs w:val="24"/>
        </w:rPr>
        <w:t xml:space="preserve"> так</w:t>
      </w:r>
      <w:r w:rsidR="00D126B9">
        <w:rPr>
          <w:rFonts w:ascii="Times New Roman" w:hAnsi="Times New Roman" w:cs="Times New Roman"/>
          <w:sz w:val="24"/>
          <w:szCs w:val="24"/>
        </w:rPr>
        <w:t xml:space="preserve"> как</w:t>
      </w:r>
      <w:r w:rsidR="00606950">
        <w:rPr>
          <w:rFonts w:ascii="Times New Roman" w:hAnsi="Times New Roman" w:cs="Times New Roman"/>
          <w:sz w:val="24"/>
          <w:szCs w:val="24"/>
        </w:rPr>
        <w:t xml:space="preserve"> ГК РФ </w:t>
      </w:r>
      <w:r w:rsidR="00D126B9">
        <w:rPr>
          <w:rFonts w:ascii="Times New Roman" w:hAnsi="Times New Roman" w:cs="Times New Roman"/>
          <w:sz w:val="24"/>
          <w:szCs w:val="24"/>
        </w:rPr>
        <w:t>введено</w:t>
      </w:r>
      <w:r w:rsidR="00606950">
        <w:rPr>
          <w:rFonts w:ascii="Times New Roman" w:hAnsi="Times New Roman" w:cs="Times New Roman"/>
          <w:sz w:val="24"/>
          <w:szCs w:val="24"/>
        </w:rPr>
        <w:t xml:space="preserve"> понятие «непреодолимой силы»</w:t>
      </w:r>
      <w:r w:rsidR="00D126B9">
        <w:rPr>
          <w:rFonts w:ascii="Times New Roman" w:hAnsi="Times New Roman" w:cs="Times New Roman"/>
          <w:sz w:val="24"/>
          <w:szCs w:val="24"/>
        </w:rPr>
        <w:t>.</w:t>
      </w:r>
    </w:p>
    <w:p w:rsidR="0022709B" w:rsidRDefault="0022709B" w:rsidP="0060695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950" w:rsidRPr="001F7E48" w:rsidRDefault="0022709B" w:rsidP="0060695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453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74531">
        <w:rPr>
          <w:rFonts w:ascii="Times New Roman" w:hAnsi="Times New Roman" w:cs="Times New Roman"/>
          <w:sz w:val="24"/>
          <w:szCs w:val="24"/>
        </w:rPr>
        <w:t>Р</w:t>
      </w:r>
      <w:r w:rsidR="00606950">
        <w:rPr>
          <w:rFonts w:ascii="Times New Roman" w:hAnsi="Times New Roman" w:cs="Times New Roman"/>
          <w:sz w:val="24"/>
          <w:szCs w:val="24"/>
        </w:rPr>
        <w:t>азделе</w:t>
      </w:r>
      <w:proofErr w:type="gramEnd"/>
      <w:r w:rsidR="00606950">
        <w:rPr>
          <w:rFonts w:ascii="Times New Roman" w:hAnsi="Times New Roman" w:cs="Times New Roman"/>
          <w:sz w:val="24"/>
          <w:szCs w:val="24"/>
        </w:rPr>
        <w:t xml:space="preserve"> 12</w:t>
      </w:r>
      <w:r w:rsidR="00C74531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606950" w:rsidRPr="001F7E48">
        <w:rPr>
          <w:rFonts w:ascii="Times New Roman" w:hAnsi="Times New Roman" w:cs="Times New Roman"/>
          <w:sz w:val="24"/>
          <w:szCs w:val="24"/>
        </w:rPr>
        <w:t xml:space="preserve"> нормы по одностороннему отказу  от исполнения условий контракта, необходимо учесть нормы ч. 8 ст. 95 ФЗ № 44, согласно которой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Заказчик вправе принять решение об одностороннем отказе от исполнения контракта по основаниям, предусмотренным ГК РФ, при условии, что это было предусмотрено контрактом (ч. 9 ст. 95 ФЗ № 44). В ФЗ № 44 установлены обязательные этапы одностороннего расторжения (части 12 - 22, ст. 95 ФЗ № 44): обязательное уведомление второй стороны и отмена решения об одностороннем расторжении в случае, если в течение десяти дней от даты уведомления вторая сторона устранила нарушение условий контракта. </w:t>
      </w:r>
      <w:proofErr w:type="gramStart"/>
      <w:r w:rsidR="00606950" w:rsidRPr="001F7E48">
        <w:rPr>
          <w:rFonts w:ascii="Times New Roman" w:hAnsi="Times New Roman" w:cs="Times New Roman"/>
          <w:sz w:val="24"/>
          <w:szCs w:val="24"/>
        </w:rPr>
        <w:t xml:space="preserve">Причиной одностороннего расторжения может быть только «существенное нарушение договора другой стороной», причем существенным является «нарушение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договора» (ч. 2 ст.450 ГК РФ), а также конкретные причины, указанные в тексте контракта. </w:t>
      </w:r>
      <w:proofErr w:type="gramEnd"/>
    </w:p>
    <w:p w:rsidR="000A1C4D" w:rsidRDefault="000A1C4D" w:rsidP="00E951E9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B26" w:rsidRPr="001F7E48" w:rsidRDefault="000A1C4D" w:rsidP="004B4B2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709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B4B26" w:rsidRPr="001F7E48">
        <w:rPr>
          <w:rFonts w:ascii="Times New Roman" w:hAnsi="Times New Roman" w:cs="Times New Roman"/>
          <w:sz w:val="24"/>
          <w:szCs w:val="24"/>
        </w:rPr>
        <w:t xml:space="preserve">. </w:t>
      </w:r>
      <w:r w:rsidR="008E1DD7">
        <w:rPr>
          <w:rFonts w:ascii="Times New Roman" w:hAnsi="Times New Roman" w:cs="Times New Roman"/>
          <w:sz w:val="24"/>
          <w:szCs w:val="24"/>
        </w:rPr>
        <w:t>В</w:t>
      </w:r>
      <w:r w:rsidR="008E1DD7" w:rsidRPr="001F7E48">
        <w:rPr>
          <w:rFonts w:ascii="Times New Roman" w:hAnsi="Times New Roman" w:cs="Times New Roman"/>
          <w:sz w:val="24"/>
          <w:szCs w:val="24"/>
        </w:rPr>
        <w:t xml:space="preserve"> раздел 24</w:t>
      </w:r>
      <w:r w:rsidR="008E1DD7">
        <w:rPr>
          <w:rFonts w:ascii="Times New Roman" w:hAnsi="Times New Roman" w:cs="Times New Roman"/>
          <w:sz w:val="24"/>
          <w:szCs w:val="24"/>
        </w:rPr>
        <w:t xml:space="preserve"> с</w:t>
      </w:r>
      <w:r w:rsidR="004B4B26" w:rsidRPr="001F7E48">
        <w:rPr>
          <w:rFonts w:ascii="Times New Roman" w:hAnsi="Times New Roman" w:cs="Times New Roman"/>
          <w:sz w:val="24"/>
          <w:szCs w:val="24"/>
        </w:rPr>
        <w:t>ледует</w:t>
      </w:r>
      <w:r w:rsidR="008E1DD7">
        <w:rPr>
          <w:rFonts w:ascii="Times New Roman" w:hAnsi="Times New Roman" w:cs="Times New Roman"/>
          <w:sz w:val="24"/>
          <w:szCs w:val="24"/>
        </w:rPr>
        <w:t xml:space="preserve"> д</w:t>
      </w:r>
      <w:r w:rsidR="004B4B26" w:rsidRPr="001F7E48">
        <w:rPr>
          <w:rFonts w:ascii="Times New Roman" w:hAnsi="Times New Roman" w:cs="Times New Roman"/>
          <w:sz w:val="24"/>
          <w:szCs w:val="24"/>
        </w:rPr>
        <w:t>обавить и возможность передачи корреспонденции электронной почтой, факсом и другими средствами связи для оперативного решени</w:t>
      </w:r>
      <w:r w:rsidR="008E1DD7">
        <w:rPr>
          <w:rFonts w:ascii="Times New Roman" w:hAnsi="Times New Roman" w:cs="Times New Roman"/>
          <w:sz w:val="24"/>
          <w:szCs w:val="24"/>
        </w:rPr>
        <w:t>я</w:t>
      </w:r>
      <w:r w:rsidR="004B4B26" w:rsidRPr="001F7E48">
        <w:rPr>
          <w:rFonts w:ascii="Times New Roman" w:hAnsi="Times New Roman" w:cs="Times New Roman"/>
          <w:sz w:val="24"/>
          <w:szCs w:val="24"/>
        </w:rPr>
        <w:t xml:space="preserve"> всех вопросов возникающих при реализации контракта. </w:t>
      </w:r>
    </w:p>
    <w:sectPr w:rsidR="004B4B26" w:rsidRPr="001F7E48" w:rsidSect="000A1C4D">
      <w:headerReference w:type="default" r:id="rId11"/>
      <w:pgSz w:w="11906" w:h="16838"/>
      <w:pgMar w:top="567" w:right="991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A4" w:rsidRDefault="005E66A4" w:rsidP="0055633C">
      <w:pPr>
        <w:spacing w:after="0" w:line="240" w:lineRule="auto"/>
      </w:pPr>
      <w:r>
        <w:separator/>
      </w:r>
    </w:p>
  </w:endnote>
  <w:endnote w:type="continuationSeparator" w:id="0">
    <w:p w:rsidR="005E66A4" w:rsidRDefault="005E66A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A4" w:rsidRDefault="005E66A4" w:rsidP="0055633C">
      <w:pPr>
        <w:spacing w:after="0" w:line="240" w:lineRule="auto"/>
      </w:pPr>
      <w:r>
        <w:separator/>
      </w:r>
    </w:p>
  </w:footnote>
  <w:footnote w:type="continuationSeparator" w:id="0">
    <w:p w:rsidR="005E66A4" w:rsidRDefault="005E66A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F20"/>
    <w:multiLevelType w:val="multilevel"/>
    <w:tmpl w:val="C4EC3F78"/>
    <w:lvl w:ilvl="0">
      <w:start w:val="1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2A1E28"/>
    <w:multiLevelType w:val="multilevel"/>
    <w:tmpl w:val="33EEA5A0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20046CCA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">
    <w:nsid w:val="44BD3A4C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1A0"/>
    <w:multiLevelType w:val="multilevel"/>
    <w:tmpl w:val="79D0B7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6">
    <w:nsid w:val="6CB773FA"/>
    <w:multiLevelType w:val="hybridMultilevel"/>
    <w:tmpl w:val="6F9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77C0E"/>
    <w:multiLevelType w:val="multilevel"/>
    <w:tmpl w:val="091838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59-25122009"/>
    <w:docVar w:name="СложноеНаименование" w:val="Ассоциация «Саморегулируемая организация «Республиканское объединение строителей Алании»"/>
    <w:docVar w:name="ЭлектронныйАдрес" w:val="www.npsrorosa.ru"/>
    <w:docVar w:name="ЮридическийАдресСРО" w:val="362002, Республика Северная Осетия - Алания, г.Владикавказ, ул.Чкалова, д.41, корпус «А»"/>
  </w:docVars>
  <w:rsids>
    <w:rsidRoot w:val="00E955CE"/>
    <w:rsid w:val="0002027F"/>
    <w:rsid w:val="00043E2E"/>
    <w:rsid w:val="00051200"/>
    <w:rsid w:val="00051FC8"/>
    <w:rsid w:val="00067770"/>
    <w:rsid w:val="00071B8E"/>
    <w:rsid w:val="000A1215"/>
    <w:rsid w:val="000A1C4D"/>
    <w:rsid w:val="000A5EFE"/>
    <w:rsid w:val="000F4752"/>
    <w:rsid w:val="001053DC"/>
    <w:rsid w:val="001078FE"/>
    <w:rsid w:val="001109BA"/>
    <w:rsid w:val="00153324"/>
    <w:rsid w:val="001556E2"/>
    <w:rsid w:val="00163ACB"/>
    <w:rsid w:val="00174291"/>
    <w:rsid w:val="001807D7"/>
    <w:rsid w:val="001952AA"/>
    <w:rsid w:val="001B2B9A"/>
    <w:rsid w:val="001B75FD"/>
    <w:rsid w:val="001C176F"/>
    <w:rsid w:val="001C6D94"/>
    <w:rsid w:val="001D3002"/>
    <w:rsid w:val="001D5918"/>
    <w:rsid w:val="001D7CF0"/>
    <w:rsid w:val="001E18B7"/>
    <w:rsid w:val="001F7E48"/>
    <w:rsid w:val="0021578D"/>
    <w:rsid w:val="0021682B"/>
    <w:rsid w:val="00220D3F"/>
    <w:rsid w:val="00226FA7"/>
    <w:rsid w:val="0022709B"/>
    <w:rsid w:val="00234CFD"/>
    <w:rsid w:val="0024346D"/>
    <w:rsid w:val="002B3C43"/>
    <w:rsid w:val="002D492C"/>
    <w:rsid w:val="002D4AF2"/>
    <w:rsid w:val="002D5688"/>
    <w:rsid w:val="002E39A2"/>
    <w:rsid w:val="002E6571"/>
    <w:rsid w:val="002F28F8"/>
    <w:rsid w:val="0033609E"/>
    <w:rsid w:val="00337085"/>
    <w:rsid w:val="00342B0A"/>
    <w:rsid w:val="00356981"/>
    <w:rsid w:val="0036770C"/>
    <w:rsid w:val="00387391"/>
    <w:rsid w:val="003E6643"/>
    <w:rsid w:val="003F5C9C"/>
    <w:rsid w:val="00402BB4"/>
    <w:rsid w:val="00411BD4"/>
    <w:rsid w:val="00416A54"/>
    <w:rsid w:val="00426482"/>
    <w:rsid w:val="004275FC"/>
    <w:rsid w:val="00430D0A"/>
    <w:rsid w:val="004338CE"/>
    <w:rsid w:val="004929E9"/>
    <w:rsid w:val="00492D67"/>
    <w:rsid w:val="00494750"/>
    <w:rsid w:val="004A1096"/>
    <w:rsid w:val="004B4B26"/>
    <w:rsid w:val="004C5D08"/>
    <w:rsid w:val="00505A82"/>
    <w:rsid w:val="00511647"/>
    <w:rsid w:val="00515298"/>
    <w:rsid w:val="00546A34"/>
    <w:rsid w:val="0055633C"/>
    <w:rsid w:val="00573E6C"/>
    <w:rsid w:val="00574695"/>
    <w:rsid w:val="005751E7"/>
    <w:rsid w:val="005A2E85"/>
    <w:rsid w:val="005C1538"/>
    <w:rsid w:val="005D1FD8"/>
    <w:rsid w:val="005E66A4"/>
    <w:rsid w:val="005F0478"/>
    <w:rsid w:val="005F3A4F"/>
    <w:rsid w:val="005F479A"/>
    <w:rsid w:val="00606950"/>
    <w:rsid w:val="00606E94"/>
    <w:rsid w:val="00641698"/>
    <w:rsid w:val="00652F9D"/>
    <w:rsid w:val="0066380F"/>
    <w:rsid w:val="00681D2B"/>
    <w:rsid w:val="00682294"/>
    <w:rsid w:val="00694A5B"/>
    <w:rsid w:val="00694C38"/>
    <w:rsid w:val="006A074A"/>
    <w:rsid w:val="006A7560"/>
    <w:rsid w:val="006C38E9"/>
    <w:rsid w:val="006C6D6A"/>
    <w:rsid w:val="00707175"/>
    <w:rsid w:val="00713262"/>
    <w:rsid w:val="00724A20"/>
    <w:rsid w:val="00752360"/>
    <w:rsid w:val="0079692F"/>
    <w:rsid w:val="007A5768"/>
    <w:rsid w:val="007C6C38"/>
    <w:rsid w:val="007D6A2A"/>
    <w:rsid w:val="007F62B4"/>
    <w:rsid w:val="00832D18"/>
    <w:rsid w:val="00852EB2"/>
    <w:rsid w:val="00855838"/>
    <w:rsid w:val="0086428B"/>
    <w:rsid w:val="00893F5B"/>
    <w:rsid w:val="008D1266"/>
    <w:rsid w:val="008E1DD7"/>
    <w:rsid w:val="008E7F4E"/>
    <w:rsid w:val="00901990"/>
    <w:rsid w:val="00907595"/>
    <w:rsid w:val="00953B45"/>
    <w:rsid w:val="00957452"/>
    <w:rsid w:val="00985FDD"/>
    <w:rsid w:val="009B77A8"/>
    <w:rsid w:val="009C3691"/>
    <w:rsid w:val="009D1F54"/>
    <w:rsid w:val="009D4D0D"/>
    <w:rsid w:val="00A0135F"/>
    <w:rsid w:val="00A42DDA"/>
    <w:rsid w:val="00AB3B81"/>
    <w:rsid w:val="00B0628B"/>
    <w:rsid w:val="00B17D0C"/>
    <w:rsid w:val="00B4279A"/>
    <w:rsid w:val="00B42D11"/>
    <w:rsid w:val="00B43F38"/>
    <w:rsid w:val="00B555F7"/>
    <w:rsid w:val="00BD4E18"/>
    <w:rsid w:val="00C07791"/>
    <w:rsid w:val="00C14ACC"/>
    <w:rsid w:val="00C41A7B"/>
    <w:rsid w:val="00C44DF7"/>
    <w:rsid w:val="00C52C24"/>
    <w:rsid w:val="00C57709"/>
    <w:rsid w:val="00C74531"/>
    <w:rsid w:val="00CA0E54"/>
    <w:rsid w:val="00CB6BD6"/>
    <w:rsid w:val="00CC2B66"/>
    <w:rsid w:val="00CD4921"/>
    <w:rsid w:val="00CD7A3C"/>
    <w:rsid w:val="00CE7EA9"/>
    <w:rsid w:val="00CF6AB2"/>
    <w:rsid w:val="00D0047B"/>
    <w:rsid w:val="00D126B9"/>
    <w:rsid w:val="00D55731"/>
    <w:rsid w:val="00D601EF"/>
    <w:rsid w:val="00DB0855"/>
    <w:rsid w:val="00DB3C3A"/>
    <w:rsid w:val="00DB7708"/>
    <w:rsid w:val="00DE3409"/>
    <w:rsid w:val="00E046B5"/>
    <w:rsid w:val="00E3019C"/>
    <w:rsid w:val="00E30AC6"/>
    <w:rsid w:val="00E714E1"/>
    <w:rsid w:val="00E951E9"/>
    <w:rsid w:val="00E955CE"/>
    <w:rsid w:val="00EE4BC8"/>
    <w:rsid w:val="00EE500B"/>
    <w:rsid w:val="00F30920"/>
    <w:rsid w:val="00F3688A"/>
    <w:rsid w:val="00F52CB7"/>
    <w:rsid w:val="00F54AD3"/>
    <w:rsid w:val="00F63151"/>
    <w:rsid w:val="00F76003"/>
    <w:rsid w:val="00F83D8E"/>
    <w:rsid w:val="00FA7EB9"/>
    <w:rsid w:val="00FD371F"/>
    <w:rsid w:val="00FE710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avi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psro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DB774-04A0-4610-9422-5EA7019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4</cp:revision>
  <cp:lastPrinted>2016-06-22T11:44:00Z</cp:lastPrinted>
  <dcterms:created xsi:type="dcterms:W3CDTF">2016-06-22T13:59:00Z</dcterms:created>
  <dcterms:modified xsi:type="dcterms:W3CDTF">2016-06-23T10:16:00Z</dcterms:modified>
</cp:coreProperties>
</file>