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71" w:rsidRDefault="00BE0771" w:rsidP="00BE0771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842A27" w:rsidRPr="00842A27" w:rsidRDefault="00842A27" w:rsidP="00842A27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BE0771" w:rsidRDefault="00842A27" w:rsidP="00842A27">
      <w:pPr>
        <w:spacing w:line="240" w:lineRule="exact"/>
        <w:jc w:val="center"/>
        <w:rPr>
          <w:b/>
          <w:u w:val="single"/>
        </w:rPr>
      </w:pPr>
      <w:r w:rsidRPr="00842A27">
        <w:rPr>
          <w:b/>
          <w:u w:val="single"/>
        </w:rPr>
        <w:t>Участок песков</w:t>
      </w:r>
      <w:proofErr w:type="gramStart"/>
      <w:r w:rsidRPr="00842A27">
        <w:rPr>
          <w:b/>
          <w:u w:val="single"/>
        </w:rPr>
        <w:t xml:space="preserve"> С</w:t>
      </w:r>
      <w:proofErr w:type="gramEnd"/>
      <w:r w:rsidRPr="00842A27">
        <w:rPr>
          <w:b/>
          <w:u w:val="single"/>
        </w:rPr>
        <w:t xml:space="preserve">т. </w:t>
      </w:r>
      <w:proofErr w:type="spellStart"/>
      <w:r w:rsidRPr="00842A27">
        <w:rPr>
          <w:b/>
          <w:u w:val="single"/>
        </w:rPr>
        <w:t>Батако</w:t>
      </w:r>
      <w:proofErr w:type="spellEnd"/>
    </w:p>
    <w:p w:rsidR="008B1FCD" w:rsidRDefault="008B1FCD" w:rsidP="00842A27">
      <w:pPr>
        <w:spacing w:line="240" w:lineRule="exact"/>
        <w:jc w:val="center"/>
        <w:rPr>
          <w:b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5670"/>
      </w:tblGrid>
      <w:tr w:rsidR="008B1FCD" w:rsidRPr="006C67D6" w:rsidTr="00AB3C27">
        <w:trPr>
          <w:trHeight w:val="699"/>
        </w:trPr>
        <w:tc>
          <w:tcPr>
            <w:tcW w:w="648" w:type="dxa"/>
          </w:tcPr>
          <w:p w:rsidR="008B1FCD" w:rsidRPr="006C67D6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 xml:space="preserve">лощадки 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8B1FCD" w:rsidRPr="006C67D6" w:rsidRDefault="008B1FCD" w:rsidP="00AB3C27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Участок песков</w:t>
            </w:r>
            <w:proofErr w:type="gramStart"/>
            <w:r w:rsidRPr="003A7EC7">
              <w:t xml:space="preserve"> С</w:t>
            </w:r>
            <w:proofErr w:type="gramEnd"/>
            <w:r w:rsidRPr="003A7EC7">
              <w:t xml:space="preserve">т. </w:t>
            </w:r>
            <w:proofErr w:type="spellStart"/>
            <w:r w:rsidRPr="003A7EC7">
              <w:t>Батако</w:t>
            </w:r>
            <w:proofErr w:type="spellEnd"/>
            <w:r w:rsidRPr="003A7EC7">
              <w:t xml:space="preserve">  </w:t>
            </w:r>
          </w:p>
        </w:tc>
      </w:tr>
      <w:tr w:rsidR="008B1FCD" w:rsidRPr="006C67D6" w:rsidTr="00AB3C27">
        <w:tc>
          <w:tcPr>
            <w:tcW w:w="648" w:type="dxa"/>
          </w:tcPr>
          <w:p w:rsidR="008B1FCD" w:rsidRPr="006C67D6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8B1FCD" w:rsidRPr="006C67D6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2016</w:t>
            </w:r>
            <w:r>
              <w:t xml:space="preserve"> </w:t>
            </w:r>
            <w:r w:rsidRPr="003A7EC7">
              <w:t>г</w:t>
            </w:r>
            <w:r>
              <w:t>од</w:t>
            </w:r>
          </w:p>
        </w:tc>
      </w:tr>
      <w:tr w:rsidR="008B1FCD" w:rsidRPr="006C67D6" w:rsidTr="00AB3C27">
        <w:tc>
          <w:tcPr>
            <w:tcW w:w="648" w:type="dxa"/>
          </w:tcPr>
          <w:p w:rsidR="008B1FCD" w:rsidRPr="006C67D6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8B1FCD" w:rsidRPr="006C67D6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Правобережный</w:t>
            </w:r>
            <w:r>
              <w:t xml:space="preserve"> район</w:t>
            </w:r>
          </w:p>
        </w:tc>
      </w:tr>
      <w:tr w:rsidR="008B1FCD" w:rsidRPr="006C67D6" w:rsidTr="00AB3C27">
        <w:tc>
          <w:tcPr>
            <w:tcW w:w="648" w:type="dxa"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8B1FCD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Участок песков</w:t>
            </w:r>
            <w:proofErr w:type="gramStart"/>
            <w:r w:rsidRPr="003A7EC7">
              <w:t xml:space="preserve"> С</w:t>
            </w:r>
            <w:proofErr w:type="gramEnd"/>
            <w:r w:rsidRPr="003A7EC7">
              <w:t xml:space="preserve">т. </w:t>
            </w:r>
            <w:proofErr w:type="spellStart"/>
            <w:r w:rsidRPr="003A7EC7">
              <w:t>Батако</w:t>
            </w:r>
            <w:proofErr w:type="spellEnd"/>
            <w:r w:rsidRPr="003A7EC7">
              <w:t>, расположен в 2-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A7EC7">
                <w:t>2,5 км</w:t>
              </w:r>
            </w:smartTag>
            <w:r>
              <w:t xml:space="preserve"> восточнее от с. Ст. </w:t>
            </w:r>
            <w:proofErr w:type="spellStart"/>
            <w:r>
              <w:t>Батако</w:t>
            </w:r>
            <w:proofErr w:type="spellEnd"/>
          </w:p>
        </w:tc>
      </w:tr>
      <w:tr w:rsidR="008B1FCD" w:rsidRPr="006C67D6" w:rsidTr="00AB3C27">
        <w:tc>
          <w:tcPr>
            <w:tcW w:w="648" w:type="dxa"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914554">
              <w:rPr>
                <w:b/>
              </w:rPr>
              <w:t xml:space="preserve">( </w:t>
            </w:r>
            <w:proofErr w:type="gramEnd"/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8B1FCD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отсутствуют</w:t>
            </w:r>
          </w:p>
        </w:tc>
      </w:tr>
      <w:tr w:rsidR="008B1FCD" w:rsidRPr="006C67D6" w:rsidTr="00AB3C27">
        <w:tc>
          <w:tcPr>
            <w:tcW w:w="648" w:type="dxa"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29" w:type="dxa"/>
          </w:tcPr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DB7ABA" w:rsidRDefault="008B1FCD" w:rsidP="00AB3C27">
            <w:r w:rsidRPr="00DB7ABA">
              <w:t>-</w:t>
            </w:r>
          </w:p>
        </w:tc>
      </w:tr>
      <w:tr w:rsidR="008B1FCD" w:rsidRPr="00B0614E" w:rsidTr="00AB3C27">
        <w:trPr>
          <w:trHeight w:val="735"/>
        </w:trPr>
        <w:tc>
          <w:tcPr>
            <w:tcW w:w="648" w:type="dxa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29" w:type="dxa"/>
          </w:tcPr>
          <w:p w:rsidR="008B1FCD" w:rsidRPr="00252E87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  <w:r w:rsidRPr="00073CA3">
              <w:rPr>
                <w:b/>
              </w:rPr>
              <w:t xml:space="preserve"> 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Default="008B1FCD" w:rsidP="00AB3C27">
            <w:r>
              <w:t>Министерство природных ресурсов и экологии РСО-Алания</w:t>
            </w:r>
          </w:p>
          <w:p w:rsidR="008B1FCD" w:rsidRPr="009C0C19" w:rsidRDefault="008B1FCD" w:rsidP="00AB3C27">
            <w:hyperlink r:id="rId5" w:history="1">
              <w:r w:rsidRPr="00FE7C63">
                <w:rPr>
                  <w:rStyle w:val="a4"/>
                  <w:lang w:val="en-US"/>
                </w:rPr>
                <w:t>Otdel</w:t>
              </w:r>
              <w:r w:rsidRPr="00FE7C63">
                <w:rPr>
                  <w:rStyle w:val="a4"/>
                </w:rPr>
                <w:t>.</w:t>
              </w:r>
              <w:r w:rsidRPr="00FE7C63">
                <w:rPr>
                  <w:rStyle w:val="a4"/>
                  <w:lang w:val="en-US"/>
                </w:rPr>
                <w:t>nedra</w:t>
              </w:r>
              <w:r w:rsidRPr="00FE7C63">
                <w:rPr>
                  <w:rStyle w:val="a4"/>
                </w:rPr>
                <w:t>@</w:t>
              </w:r>
              <w:r w:rsidRPr="00FE7C63">
                <w:rPr>
                  <w:rStyle w:val="a4"/>
                  <w:lang w:val="en-US"/>
                </w:rPr>
                <w:t>mail</w:t>
              </w:r>
              <w:r w:rsidRPr="00FE7C63">
                <w:rPr>
                  <w:rStyle w:val="a4"/>
                </w:rPr>
                <w:t>.</w:t>
              </w:r>
              <w:proofErr w:type="spellStart"/>
              <w:r w:rsidRPr="00FE7C6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1FCD" w:rsidRPr="00DB7ABA" w:rsidRDefault="008B1FCD" w:rsidP="00AB3C27">
            <w:r>
              <w:t>8(8672)</w:t>
            </w:r>
            <w:r w:rsidRPr="009C0C19">
              <w:t>76-75-98</w:t>
            </w:r>
          </w:p>
        </w:tc>
      </w:tr>
      <w:tr w:rsidR="008B1FCD" w:rsidRPr="00B0614E" w:rsidTr="00AB3C27">
        <w:trPr>
          <w:trHeight w:val="735"/>
        </w:trPr>
        <w:tc>
          <w:tcPr>
            <w:tcW w:w="648" w:type="dxa"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8B1FCD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Default="008B1FCD" w:rsidP="00AB3C27">
            <w:r>
              <w:t>Начальник отдела природных ресурсов</w:t>
            </w:r>
          </w:p>
          <w:p w:rsidR="008B1FCD" w:rsidRDefault="008B1FCD" w:rsidP="00AB3C27">
            <w:proofErr w:type="spellStart"/>
            <w:r>
              <w:t>Дауева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Израиловна</w:t>
            </w:r>
            <w:proofErr w:type="spellEnd"/>
          </w:p>
          <w:p w:rsidR="008B1FCD" w:rsidRPr="009C0C19" w:rsidRDefault="008B1FCD" w:rsidP="00AB3C27">
            <w:hyperlink r:id="rId6" w:history="1">
              <w:r w:rsidRPr="00FE7C63">
                <w:rPr>
                  <w:rStyle w:val="a4"/>
                  <w:lang w:val="en-US"/>
                </w:rPr>
                <w:t>Otdel</w:t>
              </w:r>
              <w:r w:rsidRPr="00FE7C63">
                <w:rPr>
                  <w:rStyle w:val="a4"/>
                </w:rPr>
                <w:t>.</w:t>
              </w:r>
              <w:r w:rsidRPr="00FE7C63">
                <w:rPr>
                  <w:rStyle w:val="a4"/>
                  <w:lang w:val="en-US"/>
                </w:rPr>
                <w:t>nedra</w:t>
              </w:r>
              <w:r w:rsidRPr="00FE7C63">
                <w:rPr>
                  <w:rStyle w:val="a4"/>
                </w:rPr>
                <w:t>@</w:t>
              </w:r>
              <w:r w:rsidRPr="00FE7C63">
                <w:rPr>
                  <w:rStyle w:val="a4"/>
                  <w:lang w:val="en-US"/>
                </w:rPr>
                <w:t>mail</w:t>
              </w:r>
              <w:r w:rsidRPr="00FE7C63">
                <w:rPr>
                  <w:rStyle w:val="a4"/>
                </w:rPr>
                <w:t>.</w:t>
              </w:r>
              <w:proofErr w:type="spellStart"/>
              <w:r w:rsidRPr="00FE7C6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1FCD" w:rsidRPr="009C0C19" w:rsidRDefault="008B1FCD" w:rsidP="00AB3C27">
            <w:r>
              <w:t>8(8672)</w:t>
            </w:r>
            <w:r w:rsidRPr="009C0C19">
              <w:t>76-75-98</w:t>
            </w:r>
          </w:p>
        </w:tc>
      </w:tr>
      <w:tr w:rsidR="008B1FCD" w:rsidRPr="00B0614E" w:rsidTr="00AB3C27">
        <w:trPr>
          <w:trHeight w:val="735"/>
        </w:trPr>
        <w:tc>
          <w:tcPr>
            <w:tcW w:w="648" w:type="dxa"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29" w:type="dxa"/>
          </w:tcPr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РСО-Алания, с.</w:t>
            </w:r>
            <w:r>
              <w:t xml:space="preserve"> </w:t>
            </w:r>
            <w:r w:rsidRPr="003A7EC7">
              <w:t>Ст.</w:t>
            </w:r>
            <w:r>
              <w:t xml:space="preserve"> </w:t>
            </w:r>
            <w:proofErr w:type="spellStart"/>
            <w:r w:rsidRPr="003A7EC7">
              <w:t>Батако</w:t>
            </w:r>
            <w:proofErr w:type="spellEnd"/>
          </w:p>
        </w:tc>
      </w:tr>
      <w:tr w:rsidR="008B1FCD" w:rsidRPr="00B0614E" w:rsidTr="00AB3C27">
        <w:tc>
          <w:tcPr>
            <w:tcW w:w="648" w:type="dxa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>
              <w:t>муниципальная</w:t>
            </w:r>
          </w:p>
        </w:tc>
      </w:tr>
      <w:tr w:rsidR="008B1FCD" w:rsidRPr="00B0614E" w:rsidTr="00AB3C27">
        <w:trPr>
          <w:trHeight w:val="285"/>
        </w:trPr>
        <w:tc>
          <w:tcPr>
            <w:tcW w:w="648" w:type="dxa"/>
            <w:vMerge w:val="restart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29" w:type="dxa"/>
          </w:tcPr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Удаленность участка (в км)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670" w:type="dxa"/>
          </w:tcPr>
          <w:p w:rsidR="008B1FCD" w:rsidRPr="003A7EC7" w:rsidRDefault="008B1FCD" w:rsidP="00AB3C27"/>
        </w:tc>
      </w:tr>
      <w:tr w:rsidR="008B1FCD" w:rsidRPr="00B0614E" w:rsidTr="00AB3C27">
        <w:trPr>
          <w:trHeight w:val="267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 xml:space="preserve">47 </w:t>
            </w:r>
          </w:p>
        </w:tc>
      </w:tr>
      <w:tr w:rsidR="008B1FCD" w:rsidRPr="00B0614E" w:rsidTr="00AB3C27">
        <w:trPr>
          <w:trHeight w:val="27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47</w:t>
            </w:r>
          </w:p>
        </w:tc>
      </w:tr>
      <w:tr w:rsidR="008B1FCD" w:rsidRPr="00B0614E" w:rsidTr="00AB3C27">
        <w:trPr>
          <w:trHeight w:val="27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2</w:t>
            </w:r>
          </w:p>
        </w:tc>
      </w:tr>
      <w:tr w:rsidR="008B1FCD" w:rsidRPr="00B0614E" w:rsidTr="00AB3C27">
        <w:trPr>
          <w:trHeight w:val="195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30</w:t>
            </w:r>
          </w:p>
        </w:tc>
      </w:tr>
      <w:tr w:rsidR="008B1FCD" w:rsidRPr="00B0614E" w:rsidTr="00AB3C27">
        <w:trPr>
          <w:trHeight w:val="516"/>
        </w:trPr>
        <w:tc>
          <w:tcPr>
            <w:tcW w:w="648" w:type="dxa"/>
            <w:vMerge w:val="restart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29" w:type="dxa"/>
          </w:tcPr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670" w:type="dxa"/>
          </w:tcPr>
          <w:p w:rsidR="008B1FCD" w:rsidRPr="003A7EC7" w:rsidRDefault="008B1FCD" w:rsidP="00AB3C27"/>
        </w:tc>
      </w:tr>
      <w:tr w:rsidR="008B1FCD" w:rsidRPr="00B0614E" w:rsidTr="00AB3C27">
        <w:trPr>
          <w:trHeight w:val="285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58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17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3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3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7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отсутствует</w:t>
            </w:r>
          </w:p>
        </w:tc>
      </w:tr>
      <w:tr w:rsidR="008B1FCD" w:rsidRPr="00B0614E" w:rsidTr="00AB3C27">
        <w:trPr>
          <w:trHeight w:val="271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отсутствуют</w:t>
            </w:r>
          </w:p>
        </w:tc>
      </w:tr>
      <w:tr w:rsidR="008B1FCD" w:rsidRPr="00B0614E" w:rsidTr="00AB3C27">
        <w:trPr>
          <w:trHeight w:val="340"/>
        </w:trPr>
        <w:tc>
          <w:tcPr>
            <w:tcW w:w="648" w:type="dxa"/>
            <w:vMerge/>
          </w:tcPr>
          <w:p w:rsidR="008B1FCD" w:rsidRDefault="008B1FCD" w:rsidP="00AB3C2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670" w:type="dxa"/>
          </w:tcPr>
          <w:p w:rsidR="008B1FCD" w:rsidRPr="00DB7ABA" w:rsidRDefault="008B1FCD" w:rsidP="00AB3C27">
            <w:r>
              <w:t>отсутствуют</w:t>
            </w:r>
          </w:p>
        </w:tc>
      </w:tr>
      <w:tr w:rsidR="008B1FCD" w:rsidRPr="00B0614E" w:rsidTr="00AB3C27">
        <w:tc>
          <w:tcPr>
            <w:tcW w:w="648" w:type="dxa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8B1FCD" w:rsidRPr="00073CA3" w:rsidRDefault="008B1FCD" w:rsidP="00AB3C27">
            <w:pPr>
              <w:spacing w:line="240" w:lineRule="exact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 xml:space="preserve">Площадь </w:t>
            </w:r>
            <w:smartTag w:uri="urn:schemas-microsoft-com:office:smarttags" w:element="metricconverter">
              <w:smartTagPr>
                <w:attr w:name="ProductID" w:val="7,48 га"/>
              </w:smartTagPr>
              <w:r w:rsidRPr="003A7EC7">
                <w:t>7,48 га</w:t>
              </w:r>
            </w:smartTag>
            <w:r w:rsidRPr="003A7EC7">
              <w:t>.</w:t>
            </w:r>
          </w:p>
          <w:p w:rsidR="008B1FCD" w:rsidRPr="003A7EC7" w:rsidRDefault="008B1FCD" w:rsidP="00AB3C27">
            <w:pPr>
              <w:rPr>
                <w:vertAlign w:val="superscript"/>
              </w:rPr>
            </w:pPr>
            <w:r w:rsidRPr="003A7EC7">
              <w:t>Запасы песков по состоянию на 01.01.2012</w:t>
            </w:r>
            <w:r>
              <w:t xml:space="preserve"> </w:t>
            </w:r>
            <w:r w:rsidRPr="003A7EC7">
              <w:t>г. составляют С</w:t>
            </w:r>
            <w:proofErr w:type="gramStart"/>
            <w:r w:rsidRPr="003A7EC7">
              <w:rPr>
                <w:vertAlign w:val="subscript"/>
              </w:rPr>
              <w:t>2</w:t>
            </w:r>
            <w:proofErr w:type="gramEnd"/>
            <w:r w:rsidRPr="003A7EC7">
              <w:t>- 536,87 тыс.</w:t>
            </w:r>
            <w:r>
              <w:t xml:space="preserve"> </w:t>
            </w:r>
            <w:r w:rsidRPr="003A7EC7">
              <w:t>м</w:t>
            </w:r>
            <w:r w:rsidRPr="003A7EC7">
              <w:rPr>
                <w:vertAlign w:val="superscript"/>
              </w:rPr>
              <w:t>3</w:t>
            </w:r>
          </w:p>
          <w:p w:rsidR="008B1FCD" w:rsidRPr="00B60DEC" w:rsidRDefault="008B1FCD" w:rsidP="00AB3C27">
            <w:r w:rsidRPr="00B60DEC">
              <w:t>Координаты:</w:t>
            </w:r>
          </w:p>
          <w:tbl>
            <w:tblPr>
              <w:tblStyle w:val="a3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713"/>
              <w:gridCol w:w="1173"/>
              <w:gridCol w:w="1186"/>
              <w:gridCol w:w="1186"/>
              <w:gridCol w:w="1186"/>
            </w:tblGrid>
            <w:tr w:rsidR="008B1FCD" w:rsidRPr="003A7EC7" w:rsidTr="00AB3C27">
              <w:trPr>
                <w:trHeight w:val="280"/>
              </w:trPr>
              <w:tc>
                <w:tcPr>
                  <w:tcW w:w="655" w:type="pct"/>
                  <w:vMerge w:val="restar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ind w:right="431"/>
                    <w:jc w:val="center"/>
                  </w:pPr>
                  <w:r>
                    <w:t>№№точек</w:t>
                  </w:r>
                </w:p>
              </w:tc>
              <w:tc>
                <w:tcPr>
                  <w:tcW w:w="1077" w:type="pct"/>
                  <w:vMerge w:val="restar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Х</w:t>
                  </w:r>
                </w:p>
              </w:tc>
              <w:tc>
                <w:tcPr>
                  <w:tcW w:w="1089" w:type="pct"/>
                  <w:vMerge w:val="restar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У</w:t>
                  </w:r>
                </w:p>
              </w:tc>
              <w:tc>
                <w:tcPr>
                  <w:tcW w:w="2178" w:type="pct"/>
                  <w:gridSpan w:val="2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Географические координаты</w:t>
                  </w:r>
                </w:p>
              </w:tc>
            </w:tr>
            <w:tr w:rsidR="008B1FCD" w:rsidRPr="003A7EC7" w:rsidTr="00AB3C27">
              <w:trPr>
                <w:trHeight w:val="565"/>
              </w:trPr>
              <w:tc>
                <w:tcPr>
                  <w:tcW w:w="655" w:type="pct"/>
                  <w:vMerge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ind w:right="431"/>
                    <w:jc w:val="center"/>
                  </w:pPr>
                </w:p>
              </w:tc>
              <w:tc>
                <w:tcPr>
                  <w:tcW w:w="1077" w:type="pct"/>
                  <w:vMerge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</w:p>
              </w:tc>
              <w:tc>
                <w:tcPr>
                  <w:tcW w:w="1089" w:type="pct"/>
                  <w:vMerge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СШ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ВД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93734,58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47600,4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32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2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93799,68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47632,11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3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93789,66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47713,91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93712,88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47814,07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23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5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93637,76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47932,59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6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93549,28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47957,63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30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7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93439,11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47862,48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8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93442,45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47815,74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23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93485,85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47762,32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21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10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93527,58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47720,59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C27">
              <w:tc>
                <w:tcPr>
                  <w:tcW w:w="655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11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93560,97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47653,82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30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AB3C27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16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</w:tbl>
          <w:p w:rsidR="008B1FCD" w:rsidRPr="003A7EC7" w:rsidRDefault="008B1FCD" w:rsidP="00AB3C27"/>
        </w:tc>
      </w:tr>
      <w:tr w:rsidR="008B1FCD" w:rsidRPr="00B0614E" w:rsidTr="00AB3C27">
        <w:tc>
          <w:tcPr>
            <w:tcW w:w="648" w:type="dxa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8B1FCD" w:rsidRPr="006178EB" w:rsidRDefault="008B1FCD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670" w:type="dxa"/>
          </w:tcPr>
          <w:p w:rsidR="008B1FCD" w:rsidRPr="003A7EC7" w:rsidRDefault="008B1FCD" w:rsidP="00AB3C27">
            <w:r w:rsidRPr="003A7EC7">
              <w:t>Разработка участка недр</w:t>
            </w:r>
          </w:p>
        </w:tc>
      </w:tr>
      <w:tr w:rsidR="008B1FCD" w:rsidRPr="00B0614E" w:rsidTr="00AB3C27">
        <w:tc>
          <w:tcPr>
            <w:tcW w:w="648" w:type="dxa"/>
          </w:tcPr>
          <w:p w:rsidR="008B1FCD" w:rsidRPr="00B0614E" w:rsidRDefault="008B1FCD" w:rsidP="00AB3C2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29" w:type="dxa"/>
          </w:tcPr>
          <w:p w:rsidR="008B1FCD" w:rsidRDefault="008B1FCD" w:rsidP="00AB3C27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8B1FCD" w:rsidRPr="00262C25" w:rsidRDefault="008B1FCD" w:rsidP="00AB3C27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670" w:type="dxa"/>
          </w:tcPr>
          <w:p w:rsidR="008B1FCD" w:rsidRDefault="008B1FCD" w:rsidP="00AB3C27">
            <w:r w:rsidRPr="003A7EC7">
              <w:t xml:space="preserve">Необходимо проведение </w:t>
            </w:r>
            <w:proofErr w:type="spellStart"/>
            <w:r w:rsidRPr="003A7EC7">
              <w:t>доразведки</w:t>
            </w:r>
            <w:proofErr w:type="spellEnd"/>
            <w:r w:rsidRPr="003A7EC7">
              <w:t xml:space="preserve"> участка недр.</w:t>
            </w:r>
          </w:p>
          <w:p w:rsidR="008B1FCD" w:rsidRPr="003A7EC7" w:rsidRDefault="008B1FCD" w:rsidP="00AB3C27">
            <w:r>
              <w:t>Применение в области строительства, для производства инертных строительных материалов, отсыпки автодорог.</w:t>
            </w:r>
          </w:p>
        </w:tc>
      </w:tr>
    </w:tbl>
    <w:p w:rsidR="008B1FCD" w:rsidRPr="00842A27" w:rsidRDefault="008B1FCD" w:rsidP="008B1FCD">
      <w:pPr>
        <w:spacing w:line="240" w:lineRule="exact"/>
        <w:jc w:val="both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8B1FCD" w:rsidRPr="006C67D6" w:rsidTr="00E3316A">
        <w:trPr>
          <w:trHeight w:val="22143"/>
        </w:trPr>
        <w:tc>
          <w:tcPr>
            <w:tcW w:w="10173" w:type="dxa"/>
          </w:tcPr>
          <w:p w:rsidR="008B1FCD" w:rsidRPr="006C67D6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lastRenderedPageBreak/>
              <w:t>1.</w:t>
            </w:r>
          </w:p>
          <w:p w:rsidR="008B1FCD" w:rsidRDefault="008B1FCD" w:rsidP="00BE0771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  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8B1FCD" w:rsidRPr="003A7EC7" w:rsidRDefault="008B1FCD" w:rsidP="00BE0771">
            <w:r w:rsidRPr="003A7EC7">
              <w:t>Участок песков</w:t>
            </w:r>
            <w:proofErr w:type="gramStart"/>
            <w:r w:rsidRPr="003A7EC7">
              <w:t xml:space="preserve"> С</w:t>
            </w:r>
            <w:proofErr w:type="gramEnd"/>
            <w:r w:rsidRPr="003A7EC7">
              <w:t xml:space="preserve">т. </w:t>
            </w:r>
            <w:proofErr w:type="spellStart"/>
            <w:r w:rsidRPr="003A7EC7">
              <w:t>Батако</w:t>
            </w:r>
            <w:proofErr w:type="spellEnd"/>
            <w:r w:rsidRPr="003A7EC7">
              <w:t xml:space="preserve">  </w:t>
            </w:r>
          </w:p>
          <w:p w:rsidR="008B1FCD" w:rsidRPr="006C67D6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8B1FCD" w:rsidRPr="003A7EC7" w:rsidRDefault="008B1FCD" w:rsidP="00686F9E">
            <w:r w:rsidRPr="003A7EC7">
              <w:t>2016</w:t>
            </w:r>
            <w:r>
              <w:t xml:space="preserve"> </w:t>
            </w:r>
            <w:r w:rsidRPr="003A7EC7">
              <w:t>г</w:t>
            </w:r>
            <w:r>
              <w:t>од</w:t>
            </w:r>
          </w:p>
          <w:p w:rsidR="008B1FCD" w:rsidRPr="006C67D6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8B1FCD" w:rsidRPr="003A7EC7" w:rsidRDefault="008B1FCD" w:rsidP="00686F9E">
            <w:r w:rsidRPr="003A7EC7">
              <w:t>Правобережный</w:t>
            </w:r>
            <w:r>
              <w:t xml:space="preserve"> район</w:t>
            </w:r>
          </w:p>
          <w:p w:rsidR="008B1FCD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8B1FCD" w:rsidRPr="003A7EC7" w:rsidRDefault="008B1FCD" w:rsidP="00BE0771">
            <w:r w:rsidRPr="003A7EC7">
              <w:t>Участок песков</w:t>
            </w:r>
            <w:proofErr w:type="gramStart"/>
            <w:r w:rsidRPr="003A7EC7">
              <w:t xml:space="preserve"> С</w:t>
            </w:r>
            <w:proofErr w:type="gramEnd"/>
            <w:r w:rsidRPr="003A7EC7">
              <w:t xml:space="preserve">т. </w:t>
            </w:r>
            <w:proofErr w:type="spellStart"/>
            <w:r w:rsidRPr="003A7EC7">
              <w:t>Батако</w:t>
            </w:r>
            <w:proofErr w:type="spellEnd"/>
            <w:r w:rsidRPr="003A7EC7">
              <w:t>, расположен в 2-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A7EC7">
                <w:t>2,5 км</w:t>
              </w:r>
            </w:smartTag>
            <w:r w:rsidRPr="003A7EC7">
              <w:t xml:space="preserve"> восточнее от с. Ст. </w:t>
            </w:r>
            <w:proofErr w:type="spellStart"/>
            <w:r w:rsidRPr="003A7EC7">
              <w:t>Батако</w:t>
            </w:r>
            <w:proofErr w:type="spellEnd"/>
            <w:r w:rsidRPr="003A7EC7">
              <w:t xml:space="preserve">, </w:t>
            </w:r>
          </w:p>
          <w:p w:rsidR="008B1FCD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914554">
              <w:rPr>
                <w:b/>
              </w:rPr>
              <w:t xml:space="preserve">( </w:t>
            </w:r>
            <w:proofErr w:type="gramEnd"/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8B1FCD" w:rsidRPr="00073CA3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8B1FCD" w:rsidRPr="00252E87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  <w:r w:rsidRPr="00073CA3">
              <w:rPr>
                <w:b/>
              </w:rPr>
              <w:t xml:space="preserve"> 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8B1FCD" w:rsidRPr="00073CA3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8B1FCD" w:rsidRPr="00073CA3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8B1FCD" w:rsidRPr="003A7EC7" w:rsidRDefault="008B1FCD" w:rsidP="00BE0771">
            <w:r w:rsidRPr="003A7EC7">
              <w:t>РСО-Алания, с.</w:t>
            </w:r>
            <w:r>
              <w:t xml:space="preserve"> </w:t>
            </w:r>
            <w:r w:rsidRPr="003A7EC7">
              <w:t>Ст.</w:t>
            </w:r>
            <w:r>
              <w:t xml:space="preserve"> </w:t>
            </w:r>
            <w:proofErr w:type="spellStart"/>
            <w:r w:rsidRPr="003A7EC7">
              <w:t>Батако</w:t>
            </w:r>
            <w:proofErr w:type="spellEnd"/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8B1FCD" w:rsidRPr="00073CA3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Удаленность участка (в км)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: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  <w:p w:rsidR="008B1FCD" w:rsidRPr="003A7EC7" w:rsidRDefault="008B1FCD" w:rsidP="00BE0771">
            <w:r w:rsidRPr="003A7EC7">
              <w:t xml:space="preserve">47 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  <w:p w:rsidR="008B1FCD" w:rsidRPr="003A7EC7" w:rsidRDefault="008B1FCD" w:rsidP="00BE0771">
            <w:r w:rsidRPr="003A7EC7">
              <w:t>47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  <w:p w:rsidR="008B1FCD" w:rsidRPr="003A7EC7" w:rsidRDefault="008B1FCD" w:rsidP="00BE0771">
            <w:r w:rsidRPr="003A7EC7">
              <w:t>2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  <w:p w:rsidR="008B1FCD" w:rsidRPr="003A7EC7" w:rsidRDefault="008B1FCD" w:rsidP="00BE0771">
            <w:r w:rsidRPr="003A7EC7">
              <w:t>30</w:t>
            </w:r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8B1FCD" w:rsidRPr="00073CA3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  <w:p w:rsidR="008B1FCD" w:rsidRPr="003A7EC7" w:rsidRDefault="008B1FCD" w:rsidP="00BE0771">
            <w:r w:rsidRPr="003A7EC7">
              <w:t>-</w:t>
            </w:r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8B1FCD" w:rsidRDefault="008B1FCD" w:rsidP="00BE0771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8B1FCD" w:rsidRPr="003A7EC7" w:rsidRDefault="008B1FCD" w:rsidP="00BE0771">
            <w:r w:rsidRPr="003A7EC7">
              <w:t xml:space="preserve">Площадь </w:t>
            </w:r>
            <w:smartTag w:uri="urn:schemas-microsoft-com:office:smarttags" w:element="metricconverter">
              <w:smartTagPr>
                <w:attr w:name="ProductID" w:val="7,48 га"/>
              </w:smartTagPr>
              <w:r w:rsidRPr="003A7EC7">
                <w:t>7,48 га</w:t>
              </w:r>
            </w:smartTag>
            <w:r w:rsidRPr="003A7EC7">
              <w:t>.</w:t>
            </w:r>
          </w:p>
          <w:p w:rsidR="008B1FCD" w:rsidRPr="003A7EC7" w:rsidRDefault="008B1FCD" w:rsidP="00BE0771">
            <w:pPr>
              <w:rPr>
                <w:vertAlign w:val="superscript"/>
              </w:rPr>
            </w:pPr>
            <w:r w:rsidRPr="003A7EC7">
              <w:t>Запасы песков по состоянию на 01.01.2012</w:t>
            </w:r>
            <w:r>
              <w:t xml:space="preserve"> </w:t>
            </w:r>
            <w:r w:rsidRPr="003A7EC7">
              <w:t>г. составляют С</w:t>
            </w:r>
            <w:proofErr w:type="gramStart"/>
            <w:r w:rsidRPr="003A7EC7">
              <w:rPr>
                <w:vertAlign w:val="subscript"/>
              </w:rPr>
              <w:t>2</w:t>
            </w:r>
            <w:proofErr w:type="gramEnd"/>
            <w:r w:rsidRPr="003A7EC7">
              <w:t>- 536,87 тыс.</w:t>
            </w:r>
            <w:r>
              <w:t xml:space="preserve"> </w:t>
            </w:r>
            <w:r w:rsidRPr="003A7EC7">
              <w:t>м</w:t>
            </w:r>
            <w:r w:rsidRPr="003A7EC7">
              <w:rPr>
                <w:vertAlign w:val="superscript"/>
              </w:rPr>
              <w:t>3</w:t>
            </w:r>
          </w:p>
          <w:p w:rsidR="008B1FCD" w:rsidRPr="00B60DEC" w:rsidRDefault="008B1FCD" w:rsidP="00BE0771">
            <w:r w:rsidRPr="00B60DEC">
              <w:t>Координаты:</w:t>
            </w:r>
          </w:p>
          <w:tbl>
            <w:tblPr>
              <w:tblStyle w:val="a3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144"/>
              <w:gridCol w:w="2167"/>
              <w:gridCol w:w="2166"/>
              <w:gridCol w:w="2166"/>
            </w:tblGrid>
            <w:tr w:rsidR="008B1FCD" w:rsidRPr="003A7EC7" w:rsidTr="00AB33E7">
              <w:trPr>
                <w:trHeight w:val="280"/>
              </w:trPr>
              <w:tc>
                <w:tcPr>
                  <w:tcW w:w="655" w:type="pct"/>
                  <w:vMerge w:val="restar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ind w:right="431"/>
                    <w:jc w:val="center"/>
                  </w:pPr>
                  <w:r>
                    <w:t>№№точек</w:t>
                  </w:r>
                </w:p>
              </w:tc>
              <w:tc>
                <w:tcPr>
                  <w:tcW w:w="1077" w:type="pct"/>
                  <w:vMerge w:val="restar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Х</w:t>
                  </w:r>
                </w:p>
              </w:tc>
              <w:tc>
                <w:tcPr>
                  <w:tcW w:w="1089" w:type="pct"/>
                  <w:vMerge w:val="restar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У</w:t>
                  </w:r>
                </w:p>
              </w:tc>
              <w:tc>
                <w:tcPr>
                  <w:tcW w:w="2178" w:type="pct"/>
                  <w:gridSpan w:val="2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Географические координаты</w:t>
                  </w:r>
                </w:p>
              </w:tc>
            </w:tr>
            <w:tr w:rsidR="008B1FCD" w:rsidRPr="003A7EC7" w:rsidTr="00BE0771">
              <w:trPr>
                <w:trHeight w:val="565"/>
              </w:trPr>
              <w:tc>
                <w:tcPr>
                  <w:tcW w:w="655" w:type="pct"/>
                  <w:vMerge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ind w:right="431"/>
                    <w:jc w:val="center"/>
                  </w:pPr>
                </w:p>
              </w:tc>
              <w:tc>
                <w:tcPr>
                  <w:tcW w:w="1077" w:type="pct"/>
                  <w:vMerge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</w:p>
              </w:tc>
              <w:tc>
                <w:tcPr>
                  <w:tcW w:w="1089" w:type="pct"/>
                  <w:vMerge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СШ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ВД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93734,58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47600,4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32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2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93799,68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47632,11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3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93789,66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47713,91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93712,88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47814,07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23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5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93637,76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47932,59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6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93549,28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47957,63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30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7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93439,11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47862,48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25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8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93442,45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47815,74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23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93485,85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47762,32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27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21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10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93527,58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47720,59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  <w:rPr>
                      <w:vertAlign w:val="superscript"/>
                    </w:rPr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29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19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  <w:tr w:rsidR="008B1FCD" w:rsidRPr="003A7EC7" w:rsidTr="00AB33E7">
              <w:tc>
                <w:tcPr>
                  <w:tcW w:w="655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11</w:t>
                  </w:r>
                </w:p>
              </w:tc>
              <w:tc>
                <w:tcPr>
                  <w:tcW w:w="1077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93560,97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47653,82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43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22</w:t>
                  </w:r>
                  <w:r w:rsidRPr="003A7EC7">
                    <w:rPr>
                      <w:vertAlign w:val="superscript"/>
                    </w:rPr>
                    <w:t>/</w:t>
                  </w:r>
                  <w:r w:rsidRPr="003A7EC7">
                    <w:t>30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  <w:tc>
                <w:tcPr>
                  <w:tcW w:w="1089" w:type="pct"/>
                </w:tcPr>
                <w:p w:rsidR="008B1FCD" w:rsidRPr="003A7EC7" w:rsidRDefault="008B1FCD" w:rsidP="008B1FCD">
                  <w:pPr>
                    <w:framePr w:hSpace="180" w:wrap="around" w:vAnchor="text" w:hAnchor="margin" w:y="152"/>
                    <w:jc w:val="center"/>
                  </w:pPr>
                  <w:r w:rsidRPr="003A7EC7">
                    <w:t>44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34</w:t>
                  </w:r>
                  <w:r w:rsidRPr="003A7EC7">
                    <w:rPr>
                      <w:vertAlign w:val="superscript"/>
                    </w:rPr>
                    <w:t>0</w:t>
                  </w:r>
                  <w:r w:rsidRPr="003A7EC7">
                    <w:t>16</w:t>
                  </w:r>
                  <w:r w:rsidRPr="003A7EC7">
                    <w:rPr>
                      <w:vertAlign w:val="superscript"/>
                    </w:rPr>
                    <w:t>//</w:t>
                  </w:r>
                </w:p>
              </w:tc>
            </w:tr>
          </w:tbl>
          <w:p w:rsidR="008B1FCD" w:rsidRPr="003A7EC7" w:rsidRDefault="008B1FCD" w:rsidP="00BE0771"/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8B1FCD" w:rsidRDefault="008B1FCD" w:rsidP="00BE0771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8B1FCD" w:rsidRPr="003A7EC7" w:rsidRDefault="008B1FCD" w:rsidP="00BE0771">
            <w:r w:rsidRPr="003A7EC7">
              <w:t>Разработка участка недр</w:t>
            </w:r>
          </w:p>
          <w:p w:rsidR="008B1FCD" w:rsidRPr="00B0614E" w:rsidRDefault="008B1FCD" w:rsidP="00BE077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8B1FCD" w:rsidRDefault="008B1FCD" w:rsidP="00BE0771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8B1FCD" w:rsidRDefault="008B1FCD" w:rsidP="00BE0771">
            <w:r w:rsidRPr="003A7EC7">
              <w:t xml:space="preserve">Необходимо проведение </w:t>
            </w:r>
            <w:proofErr w:type="spellStart"/>
            <w:r w:rsidRPr="003A7EC7">
              <w:t>доразведки</w:t>
            </w:r>
            <w:proofErr w:type="spellEnd"/>
            <w:r w:rsidRPr="003A7EC7">
              <w:t xml:space="preserve"> участка недр.</w:t>
            </w:r>
          </w:p>
          <w:p w:rsidR="008B1FCD" w:rsidRPr="003A7EC7" w:rsidRDefault="008B1FCD" w:rsidP="00E3316A">
            <w:r>
              <w:t>Применение в области строительства, для производства инертных строительных материалов, отсыпки автодорог.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F1"/>
    <w:rsid w:val="00686F9E"/>
    <w:rsid w:val="00842A27"/>
    <w:rsid w:val="008B1FCD"/>
    <w:rsid w:val="009E2B96"/>
    <w:rsid w:val="00AE7BE1"/>
    <w:rsid w:val="00B142F1"/>
    <w:rsid w:val="00BE0771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.nedra@mail.ru" TargetMode="External"/><Relationship Id="rId5" Type="http://schemas.openxmlformats.org/officeDocument/2006/relationships/hyperlink" Target="mailto:Otdel.ne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2016-01-28T10:58:00Z</dcterms:created>
  <dcterms:modified xsi:type="dcterms:W3CDTF">2016-03-18T06:35:00Z</dcterms:modified>
</cp:coreProperties>
</file>