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EC" w:rsidRPr="00E769EC" w:rsidRDefault="00E769EC" w:rsidP="00E769EC">
      <w:pPr>
        <w:spacing w:after="0" w:line="351" w:lineRule="atLeast"/>
        <w:jc w:val="center"/>
        <w:textAlignment w:val="baseline"/>
        <w:outlineLvl w:val="1"/>
        <w:rPr>
          <w:rFonts w:ascii="inherit" w:eastAsia="Times New Roman" w:hAnsi="inherit" w:cs="Helvetica"/>
          <w:color w:val="555555"/>
          <w:sz w:val="30"/>
          <w:szCs w:val="3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30"/>
          <w:szCs w:val="30"/>
          <w:lang w:eastAsia="ru-RU"/>
        </w:rPr>
        <w:fldChar w:fldCharType="begin"/>
      </w:r>
      <w:r w:rsidRPr="00E769EC">
        <w:rPr>
          <w:rFonts w:ascii="inherit" w:eastAsia="Times New Roman" w:hAnsi="inherit" w:cs="Helvetica"/>
          <w:color w:val="555555"/>
          <w:sz w:val="30"/>
          <w:szCs w:val="30"/>
          <w:lang w:eastAsia="ru-RU"/>
        </w:rPr>
        <w:instrText xml:space="preserve"> HYPERLINK "http://ugskp15.ru/2-news/22-pamyatka" </w:instrText>
      </w:r>
      <w:r w:rsidRPr="00E769EC">
        <w:rPr>
          <w:rFonts w:ascii="inherit" w:eastAsia="Times New Roman" w:hAnsi="inherit" w:cs="Helvetica"/>
          <w:color w:val="555555"/>
          <w:sz w:val="30"/>
          <w:szCs w:val="30"/>
          <w:lang w:eastAsia="ru-RU"/>
        </w:rPr>
        <w:fldChar w:fldCharType="separate"/>
      </w:r>
      <w:r w:rsidRPr="00E769EC">
        <w:rPr>
          <w:rFonts w:ascii="inherit" w:eastAsia="Times New Roman" w:hAnsi="inherit" w:cs="Helvetica"/>
          <w:color w:val="34647F"/>
          <w:sz w:val="30"/>
          <w:szCs w:val="30"/>
          <w:u w:val="single"/>
          <w:bdr w:val="none" w:sz="0" w:space="0" w:color="auto" w:frame="1"/>
          <w:lang w:eastAsia="ru-RU"/>
        </w:rPr>
        <w:t>Памятка о положениях законодательства Российской Федерации и Республики Северная Осетия-Алания о противодействии коррупции и ответственности за коррупционные правонарушения</w:t>
      </w:r>
      <w:r w:rsidRPr="00E769EC">
        <w:rPr>
          <w:rFonts w:ascii="inherit" w:eastAsia="Times New Roman" w:hAnsi="inherit" w:cs="Helvetica"/>
          <w:color w:val="555555"/>
          <w:sz w:val="30"/>
          <w:szCs w:val="30"/>
          <w:lang w:eastAsia="ru-RU"/>
        </w:rPr>
        <w:fldChar w:fldCharType="end"/>
      </w:r>
    </w:p>
    <w:p w:rsid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Памятка разработана Управлением Главы Республики Северная Осетия-Алания по государственной гражданской службе и кадровой политике  на основании </w:t>
      </w:r>
      <w:proofErr w:type="spellStart"/>
      <w:r w:rsidRPr="00E769EC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E769EC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. «в» п. 4 Указа Президента РФ от 13 марта 2012 г. № 297 «О Национальном плане противодействия коррупции на 2012-2013 годы и внесении изменений в некоторые акты Президента</w:t>
      </w:r>
      <w:bookmarkStart w:id="0" w:name="_GoBack"/>
      <w:bookmarkEnd w:id="0"/>
      <w:r w:rsidRPr="00E769EC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 Российской Федерации по вопросам противодействия коррупции».</w:t>
      </w: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Понятие коррупции закреплено </w:t>
      </w:r>
      <w:hyperlink r:id="rId5" w:anchor="st1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статьей 1</w:t>
        </w:r>
      </w:hyperlink>
      <w:r w:rsidRPr="00E769EC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 Федерального закона от 19.12.2008 № 273-ФЗ «О противодействии коррупции» (далее - Федеральный закон от 19.12.2008 №273). </w:t>
      </w:r>
      <w:proofErr w:type="gramStart"/>
      <w:r w:rsidRPr="00E769EC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E769EC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 лицами; а также совершение указанных деяний от имени или в интересах юридического лица.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 соответствии со </w:t>
      </w:r>
      <w:hyperlink r:id="rId6" w:anchor="st13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статьей 13</w:t>
        </w:r>
      </w:hyperlink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Федерального закона от 19.12.2008 № 273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 настоящее время Указом Президента РФ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утверждён Национальный план противодействия коррупции на 2012-2013 годы.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proofErr w:type="gramStart"/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Согласно Национальному плану противодействия коррупции на 2012 – 2013 годы высшим должностным лицам (руководителям высших исполнительных органов государственной власти) субъектов Российской Федерации поручено: организовать доведение до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</w:t>
      </w:r>
      <w:proofErr w:type="gramEnd"/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, </w:t>
      </w:r>
      <w:proofErr w:type="gramStart"/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</w:t>
      </w:r>
      <w:proofErr w:type="gramEnd"/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 учётом вышесказанного предлагаем вам обзор норм  законодательства  Российской федерации о противодействии коррупции и ответственности за коррупционные правонарушения.</w:t>
      </w: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before="240" w:after="240" w:line="351" w:lineRule="atLeast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r w:rsidRPr="00E769EC">
        <w:rPr>
          <w:rFonts w:ascii="inherit" w:eastAsia="Times New Roman" w:hAnsi="inherit" w:cs="Helvetica"/>
          <w:b/>
          <w:bCs/>
          <w:color w:val="555555"/>
          <w:sz w:val="26"/>
          <w:szCs w:val="26"/>
          <w:lang w:eastAsia="ru-RU"/>
        </w:rPr>
        <w:lastRenderedPageBreak/>
        <w:t>Уголовная ответственность</w:t>
      </w: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Уголовная ответственность применяется в судебном порядке к лицу, виновному в совершении преступления. Нормативным актом, устанавливающим уголовную ответственность, является </w:t>
      </w:r>
      <w:hyperlink r:id="rId7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Уголовный кодекс Российской Федерации</w:t>
        </w:r>
      </w:hyperlink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(далее - УК РФ).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8" w:anchor="st141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Часть 2 статьи 141 УК РФ «Воспрепятствование осуществлению избирательных прав или работе избирательных комиссий, соединенное с подкупом, в том числе с использованием своего служебного положения».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9" w:anchor="st159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Часть 3 статьи 159  «Мошенничество, совершенное лицом с использованием своего служебного положения».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0" w:anchor="st160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Часть 3 статьи 160  «Присвоение  или  растрата,   совершенная  лицом  с использованием своего служебного положения».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1" w:anchor="st170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170 «Регистрация незаконных сделок с землей».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2" w:anchor="st174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Часть 3 статьи 174 «Легализация (отмывание) денежных средств или иного имущества  с использованием своего служебного положения».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3" w:anchor="st175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Часть 3 статьи 175 «Приобретение или сбыт имущества, заведомо добытого преступным путем, с использованием своего служебного положения».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4" w:anchor="st178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Части 2,3 статьи 178 «Недопущение, ограничение или устранение конкуренции с использованием своего служебного положения».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5" w:anchor="st184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184 «Подкуп участников и  организаторов профессиональных спортивных соревнований и зрелищных коммерческих конкурсов».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6" w:anchor="st201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 201  Злоупотребление полномочиями».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7" w:anchor="st202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 202 «Злоупотребление полномочиями частными нотариусами и аудиторами».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8" w:anchor="st204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 204 «Коммерческий подкуп».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19" w:anchor="st285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 285 «Злоупотребление должностными полномочиями».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0" w:anchor="st285-1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 285.1 «Нецелевое расходование бюджетных средств».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1" w:anchor="st285-2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285.2 «Нецелевое  расходование   средств   государственных внебюджетных фондов».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2" w:anchor="st286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286 УК РФ «Превышение должностных полномочий».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3" w:anchor="st289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289 «Незаконное участие в предпринимательской деятельности».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4" w:anchor="st290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290 «Получение взятки».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5" w:anchor="st291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291 «Дача взятки».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6" w:anchor="st292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292 «Служебный подлог».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7" w:anchor="st304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304 «Провокация взятки либо коммерческого подкупа».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8" w:anchor="st309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Часть 1 статьи 309 «Подкуп или принуждение к даче показаний или уклонению от дачи показаний либо к неправильному переводу».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Постановления Пленума Верховного Суда Российской Федерации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1) </w:t>
      </w:r>
      <w:hyperlink r:id="rId29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от 16 октября 2009 г. N 19 «О судебной практике по делам о злоупотреблении должностными полномочиями и о превышении должностных полномочий».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2) </w:t>
      </w:r>
      <w:hyperlink r:id="rId30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от 10 февраля 2000 г. N 6 «О судебной практике по делам о взяточничестве и коммерческом подкупе».</w:t>
        </w:r>
      </w:hyperlink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before="240" w:after="240" w:line="351" w:lineRule="atLeast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r w:rsidRPr="00E769EC">
        <w:rPr>
          <w:rFonts w:ascii="inherit" w:eastAsia="Times New Roman" w:hAnsi="inherit" w:cs="Helvetica"/>
          <w:b/>
          <w:bCs/>
          <w:color w:val="555555"/>
          <w:sz w:val="26"/>
          <w:szCs w:val="26"/>
          <w:lang w:eastAsia="ru-RU"/>
        </w:rPr>
        <w:t>Административная ответственность</w:t>
      </w: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Административная ответственность - ответственность физических и юридических лиц за совершение административного правонарушения.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К административным коррупционным правонарушениям относятся следующие противоправные, виновные действия (бездействие), за которые предусмотрена административная ответственность Кодексом Российской Федерации об административных правонарушениях:   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31" w:anchor="st5-16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5.16.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32" w:anchor="st5-17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 5.17. «</w:t>
        </w:r>
        <w:proofErr w:type="spellStart"/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Непредоставление</w:t>
        </w:r>
        <w:proofErr w:type="spellEnd"/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или </w:t>
        </w:r>
        <w:proofErr w:type="spellStart"/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неопубликование</w:t>
        </w:r>
        <w:proofErr w:type="spellEnd"/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отчета, сведений о поступлении и расходовании средств, выделенных на подготовку и проведение выборов, референдума».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33" w:anchor="st5-18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5.18. «Незаконное использование денежных сре</w:t>
        </w:r>
        <w:proofErr w:type="gramStart"/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дств пр</w:t>
        </w:r>
        <w:proofErr w:type="gramEnd"/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и финансировании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34" w:anchor="st5-19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 5.19. «Использование незаконной материальной поддержки при финансировании избирательной кампании, кампании референдума».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35" w:anchor="st5-20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5.20. «Незаконное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 выполнение работ, оказание услуг, реализация товаров бесплатно или по необоснованно заниженным (завышенным) расценкам».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before="240" w:after="240" w:line="351" w:lineRule="atLeast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r w:rsidRPr="00E769EC">
        <w:rPr>
          <w:rFonts w:ascii="inherit" w:eastAsia="Times New Roman" w:hAnsi="inherit" w:cs="Helvetica"/>
          <w:b/>
          <w:bCs/>
          <w:color w:val="555555"/>
          <w:sz w:val="26"/>
          <w:szCs w:val="26"/>
          <w:lang w:eastAsia="ru-RU"/>
        </w:rPr>
        <w:t>Гражданско-правовая ответственность</w:t>
      </w: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proofErr w:type="gramStart"/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Гражданская (гражданско-правовая) ответственность - один из видов юридической ответственности;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обязанностей, что связано с нарушением субъективных гражданских прав другого лица.</w:t>
      </w:r>
      <w:proofErr w:type="gramEnd"/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Гражданско-правовая ответственность заключается в применении к правонарушителю в интересах другого лица либо государства установленных законом или договором мер воздействия, влекущих для него отрицательные, экономически невыгодные последствия имущественного характера — возмещение убытков, уплату неустойки (штрафа, пени), возмещение вреда.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К гражданским коррупционным правонарушениям относятся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 (далее – ГК РФ).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Например, статья 575 ГК РФ содержит запрет на дарение, за исключением обычных подарков, стоимость которых превышает трех тысяч рублей, государственным служащим в связи с их должностным положением или в связи с исполнением ими служебных обязанностей.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 стоимость которых не превышает трех тысяч рублей, признаются федеральной собственностью или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службы. </w:t>
      </w: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before="240" w:after="240" w:line="351" w:lineRule="atLeast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r w:rsidRPr="00E769EC">
        <w:rPr>
          <w:rFonts w:ascii="inherit" w:eastAsia="Times New Roman" w:hAnsi="inherit" w:cs="Helvetica"/>
          <w:b/>
          <w:bCs/>
          <w:color w:val="555555"/>
          <w:sz w:val="26"/>
          <w:szCs w:val="26"/>
          <w:lang w:eastAsia="ru-RU"/>
        </w:rPr>
        <w:t>Дисциплинарная ответственность</w:t>
      </w:r>
    </w:p>
    <w:p w:rsidR="00E769EC" w:rsidRPr="00E769EC" w:rsidRDefault="00E769EC" w:rsidP="00E769EC">
      <w:pPr>
        <w:spacing w:after="0" w:line="351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Дисциплинарная ответственность - вид юридической ответственности, одна из правовых форм воздействия на нарушителей трудовой дисциплины, заключается в наложении дисциплинарных взысканий.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обязанностей, за которые установлена дисциплинарная ответственность.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Совершение лицами (замещающими государственные должности Российской Федерации;  государственные должности субъекта Российской Федерации, должности государственной гражданской службы, муниципальные должности, должности муниципальной службы) дисциплинарного коррупционного проступка, влечет наложение дисциплинарного взыскания, предусмотренного законодательством Российской Федерации.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hyperlink r:id="rId36" w:history="1">
        <w:r w:rsidRPr="00E769EC">
          <w:rPr>
            <w:rFonts w:ascii="inherit" w:eastAsia="Times New Roman" w:hAnsi="inherit" w:cs="Helvetica"/>
            <w:b/>
            <w:bCs/>
            <w:color w:val="34647F"/>
            <w:sz w:val="26"/>
            <w:szCs w:val="26"/>
            <w:bdr w:val="none" w:sz="0" w:space="0" w:color="auto" w:frame="1"/>
            <w:lang w:eastAsia="ru-RU"/>
          </w:rPr>
          <w:t>Федеральный закон от 19.12.2008 № 273-ФЗ «О противодействии коррупции»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37" w:anchor="st13-1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13.1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hyperlink r:id="rId38" w:history="1">
        <w:r w:rsidRPr="00E769EC">
          <w:rPr>
            <w:rFonts w:ascii="inherit" w:eastAsia="Times New Roman" w:hAnsi="inherit" w:cs="Helvetica"/>
            <w:b/>
            <w:bCs/>
            <w:color w:val="34647F"/>
            <w:sz w:val="26"/>
            <w:szCs w:val="26"/>
            <w:bdr w:val="none" w:sz="0" w:space="0" w:color="auto" w:frame="1"/>
            <w:lang w:eastAsia="ru-RU"/>
          </w:rPr>
          <w:t>Федеральный закон от 27.07.2004 № 79-ФЗ  «О государственной гражданской службе Российской Федерации»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39" w:anchor="st59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59. Служебная проверка.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40" w:anchor="st59-1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59.1.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41" w:anchor="st59-2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59.2. Увольнение в связи с утратой доверия</w:t>
        </w:r>
      </w:hyperlink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.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42" w:anchor="st59-3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59.3. Порядок применения взысканий за коррупционные правонарушения.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hyperlink r:id="rId43" w:history="1">
        <w:r w:rsidRPr="00E769EC">
          <w:rPr>
            <w:rFonts w:ascii="inherit" w:eastAsia="Times New Roman" w:hAnsi="inherit" w:cs="Helvetica"/>
            <w:b/>
            <w:bCs/>
            <w:color w:val="34647F"/>
            <w:sz w:val="26"/>
            <w:szCs w:val="26"/>
            <w:bdr w:val="none" w:sz="0" w:space="0" w:color="auto" w:frame="1"/>
            <w:lang w:eastAsia="ru-RU"/>
          </w:rPr>
          <w:t>Федеральный закон от 2 марта 2007 г. № 25-ФЗ «О муниципальной службе в Российской Федерации»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44" w:anchor="st27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27. Дисциплинарная ответственность муниципального служащего.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45" w:anchor="st27-1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hyperlink r:id="rId46" w:history="1">
        <w:r w:rsidRPr="00E769EC">
          <w:rPr>
            <w:rFonts w:ascii="inherit" w:eastAsia="Times New Roman" w:hAnsi="inherit" w:cs="Helvetica"/>
            <w:b/>
            <w:bCs/>
            <w:color w:val="34647F"/>
            <w:sz w:val="26"/>
            <w:szCs w:val="26"/>
            <w:bdr w:val="none" w:sz="0" w:space="0" w:color="auto" w:frame="1"/>
            <w:lang w:eastAsia="ru-RU"/>
          </w:rPr>
          <w:t>Закон Республики Северная Осетия-Алания от 15.06.2009  "О противодействии коррупции в Республике Северная Осетия-Алания"</w:t>
        </w:r>
      </w:hyperlink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before="240" w:after="240" w:line="351" w:lineRule="atLeast"/>
        <w:jc w:val="both"/>
        <w:textAlignment w:val="baseline"/>
        <w:outlineLvl w:val="2"/>
        <w:rPr>
          <w:rFonts w:ascii="inherit" w:eastAsia="Times New Roman" w:hAnsi="inherit" w:cs="Helvetica"/>
          <w:color w:val="555555"/>
          <w:sz w:val="26"/>
          <w:szCs w:val="26"/>
          <w:lang w:eastAsia="ru-RU"/>
        </w:rPr>
      </w:pPr>
      <w:r w:rsidRPr="00E769EC">
        <w:rPr>
          <w:rFonts w:ascii="inherit" w:eastAsia="Times New Roman" w:hAnsi="inherit" w:cs="Helvetica"/>
          <w:b/>
          <w:bCs/>
          <w:color w:val="555555"/>
          <w:sz w:val="26"/>
          <w:szCs w:val="26"/>
          <w:lang w:eastAsia="ru-RU"/>
        </w:rPr>
        <w:t>Указы Главы Республики Северная Осетия-Алания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47" w:history="1">
        <w:proofErr w:type="gramStart"/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Указ Главы Республики Северная Осетия-Алания от 30 ноября 2009 г. № 312 «О проверке достоверности и полноты сведений, представляемых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и соблюдения ограничений лицами, замещающими государственные должности Республики Северная Осетия-Алания». </w:t>
        </w:r>
      </w:hyperlink>
      <w:proofErr w:type="gramEnd"/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48" w:history="1">
        <w:proofErr w:type="gramStart"/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Указ Главы Республики Северная Осетия-Алания от 30 ноября 2009 г. № 313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поведению».</w:t>
        </w:r>
      </w:hyperlink>
      <w:proofErr w:type="gramEnd"/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769EC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769EC" w:rsidRPr="00E769EC" w:rsidRDefault="00E769EC" w:rsidP="00E769EC">
      <w:pPr>
        <w:spacing w:after="0" w:line="351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49" w:history="1">
        <w:r w:rsidRPr="00E769EC">
          <w:rPr>
            <w:rFonts w:ascii="inherit" w:eastAsia="Times New Roman" w:hAnsi="inherit" w:cs="Helvetica"/>
            <w:color w:val="34647F"/>
            <w:sz w:val="20"/>
            <w:szCs w:val="20"/>
            <w:u w:val="single"/>
            <w:bdr w:val="none" w:sz="0" w:space="0" w:color="auto" w:frame="1"/>
            <w:lang w:eastAsia="ru-RU"/>
          </w:rPr>
          <w:t>Указ Главы Республики Северная Осетия-Алания от 6 сентября 2010 г. № 129 «О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интересов».</w:t>
        </w:r>
      </w:hyperlink>
    </w:p>
    <w:p w:rsidR="00074B5B" w:rsidRDefault="00074B5B"/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EC"/>
    <w:rsid w:val="00074B5B"/>
    <w:rsid w:val="009A0805"/>
    <w:rsid w:val="00B01A36"/>
    <w:rsid w:val="00E769EC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820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none" w:sz="0" w:space="11" w:color="auto"/>
                <w:bottom w:val="single" w:sz="6" w:space="4" w:color="E6E6E6"/>
                <w:right w:val="none" w:sz="0" w:space="11" w:color="auto"/>
              </w:divBdr>
            </w:div>
          </w:divsChild>
        </w:div>
        <w:div w:id="128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gskp15.ru/ugskp15.ru/law/25-ukrf" TargetMode="External"/><Relationship Id="rId18" Type="http://schemas.openxmlformats.org/officeDocument/2006/relationships/hyperlink" Target="http://ugskp15.ru/ugskp15.ru/law/25-ukrf" TargetMode="External"/><Relationship Id="rId26" Type="http://schemas.openxmlformats.org/officeDocument/2006/relationships/hyperlink" Target="http://ugskp15.ru/ugskp15.ru/law/25-ukrf" TargetMode="External"/><Relationship Id="rId39" Type="http://schemas.openxmlformats.org/officeDocument/2006/relationships/hyperlink" Target="http://ugskp15.ru/law/23-fz7927072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gskp15.ru/ugskp15.ru/law/25-ukrf" TargetMode="External"/><Relationship Id="rId34" Type="http://schemas.openxmlformats.org/officeDocument/2006/relationships/hyperlink" Target="http://ugskp15.ru/law/24-koap" TargetMode="External"/><Relationship Id="rId42" Type="http://schemas.openxmlformats.org/officeDocument/2006/relationships/hyperlink" Target="http://ugskp15.ru/law/23-fz7927072004" TargetMode="External"/><Relationship Id="rId47" Type="http://schemas.openxmlformats.org/officeDocument/2006/relationships/hyperlink" Target="http://ugskp15.ru/law/29-ukazrso3123011200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gskp15.ru/ugskp15.ru/law/25-ukrf" TargetMode="External"/><Relationship Id="rId12" Type="http://schemas.openxmlformats.org/officeDocument/2006/relationships/hyperlink" Target="http://ugskp15.ru/ugskp15.ru/law/25-ukrf" TargetMode="External"/><Relationship Id="rId17" Type="http://schemas.openxmlformats.org/officeDocument/2006/relationships/hyperlink" Target="http://ugskp15.ru/ugskp15.ru/law/25-ukrf" TargetMode="External"/><Relationship Id="rId25" Type="http://schemas.openxmlformats.org/officeDocument/2006/relationships/hyperlink" Target="http://ugskp15.ru/ugskp15.ru/law/25-ukrf" TargetMode="External"/><Relationship Id="rId33" Type="http://schemas.openxmlformats.org/officeDocument/2006/relationships/hyperlink" Target="http://ugskp15.ru/law/24-koap" TargetMode="External"/><Relationship Id="rId38" Type="http://schemas.openxmlformats.org/officeDocument/2006/relationships/hyperlink" Target="http://ugskp15.ru/law/23-fz7927072004" TargetMode="External"/><Relationship Id="rId46" Type="http://schemas.openxmlformats.org/officeDocument/2006/relationships/hyperlink" Target="http://ugskp15.ru/law/28-zrsoa16rz15062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gskp15.ru/ugskp15.ru/law/25-ukrf" TargetMode="External"/><Relationship Id="rId20" Type="http://schemas.openxmlformats.org/officeDocument/2006/relationships/hyperlink" Target="http://ugskp15.ru/ugskp15.ru/law/25-ukrf" TargetMode="External"/><Relationship Id="rId29" Type="http://schemas.openxmlformats.org/officeDocument/2006/relationships/hyperlink" Target="http://ugskp15.ru/images/documents/20121203/plenum_16102009.doc" TargetMode="External"/><Relationship Id="rId41" Type="http://schemas.openxmlformats.org/officeDocument/2006/relationships/hyperlink" Target="http://ugskp15.ru/law/23-fz7927072004" TargetMode="External"/><Relationship Id="rId1" Type="http://schemas.openxmlformats.org/officeDocument/2006/relationships/styles" Target="styles.xml"/><Relationship Id="rId6" Type="http://schemas.openxmlformats.org/officeDocument/2006/relationships/hyperlink" Target="http://ugskp15.ru/ugskp15.ru/law/26-fz27925122008" TargetMode="External"/><Relationship Id="rId11" Type="http://schemas.openxmlformats.org/officeDocument/2006/relationships/hyperlink" Target="http://ugskp15.ru/ugskp15.ru/law/25-ukrf" TargetMode="External"/><Relationship Id="rId24" Type="http://schemas.openxmlformats.org/officeDocument/2006/relationships/hyperlink" Target="http://ugskp15.ru/ugskp15.ru/law/25-ukrf" TargetMode="External"/><Relationship Id="rId32" Type="http://schemas.openxmlformats.org/officeDocument/2006/relationships/hyperlink" Target="http://ugskp15.ru/law/24-koap" TargetMode="External"/><Relationship Id="rId37" Type="http://schemas.openxmlformats.org/officeDocument/2006/relationships/hyperlink" Target="http://ugskp15.ru/law/26-fz27925122008" TargetMode="External"/><Relationship Id="rId40" Type="http://schemas.openxmlformats.org/officeDocument/2006/relationships/hyperlink" Target="http://ugskp15.ru/law/23-fz7927072004" TargetMode="External"/><Relationship Id="rId45" Type="http://schemas.openxmlformats.org/officeDocument/2006/relationships/hyperlink" Target="http://ugskp15.ru/ugskp15.ru/law/27-fz2502032007" TargetMode="External"/><Relationship Id="rId5" Type="http://schemas.openxmlformats.org/officeDocument/2006/relationships/hyperlink" Target="http://ugskp15.ru/law/26-fz27925122008" TargetMode="External"/><Relationship Id="rId15" Type="http://schemas.openxmlformats.org/officeDocument/2006/relationships/hyperlink" Target="http://ugskp15.ru/ugskp15.ru/law/25-ukrf" TargetMode="External"/><Relationship Id="rId23" Type="http://schemas.openxmlformats.org/officeDocument/2006/relationships/hyperlink" Target="http://ugskp15.ru/ugskp15.ru/law/25-ukrf" TargetMode="External"/><Relationship Id="rId28" Type="http://schemas.openxmlformats.org/officeDocument/2006/relationships/hyperlink" Target="http://ugskp15.ru/ugskp15.ru/law/25-ukrf" TargetMode="External"/><Relationship Id="rId36" Type="http://schemas.openxmlformats.org/officeDocument/2006/relationships/hyperlink" Target="http://ugskp15.ru/law/26-fz27925122008" TargetMode="External"/><Relationship Id="rId49" Type="http://schemas.openxmlformats.org/officeDocument/2006/relationships/hyperlink" Target="http://ugskp15.ru/law/31-ukazrso12906092010" TargetMode="External"/><Relationship Id="rId10" Type="http://schemas.openxmlformats.org/officeDocument/2006/relationships/hyperlink" Target="http://ugskp15.ru/ugskp15.ru/law/25-ukrf" TargetMode="External"/><Relationship Id="rId19" Type="http://schemas.openxmlformats.org/officeDocument/2006/relationships/hyperlink" Target="http://ugskp15.ru/ugskp15.ru/law/25-ukrf" TargetMode="External"/><Relationship Id="rId31" Type="http://schemas.openxmlformats.org/officeDocument/2006/relationships/hyperlink" Target="http://ugskp15.ru/law/24-koap" TargetMode="External"/><Relationship Id="rId44" Type="http://schemas.openxmlformats.org/officeDocument/2006/relationships/hyperlink" Target="http://ugskp15.ru/law/27-fz250203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skp15.ru/ugskp15.ru/law/25-ukrf" TargetMode="External"/><Relationship Id="rId14" Type="http://schemas.openxmlformats.org/officeDocument/2006/relationships/hyperlink" Target="http://ugskp15.ru/ugskp15.ru/law/25-ukrf" TargetMode="External"/><Relationship Id="rId22" Type="http://schemas.openxmlformats.org/officeDocument/2006/relationships/hyperlink" Target="http://ugskp15.ru/ugskp15.ru/law/25-ukrf" TargetMode="External"/><Relationship Id="rId27" Type="http://schemas.openxmlformats.org/officeDocument/2006/relationships/hyperlink" Target="http://ugskp15.ru/ugskp15.ru/law/25-ukrf" TargetMode="External"/><Relationship Id="rId30" Type="http://schemas.openxmlformats.org/officeDocument/2006/relationships/hyperlink" Target="http://ugskp15.ru/images/documents/20121203/plenum_10022000.doc" TargetMode="External"/><Relationship Id="rId35" Type="http://schemas.openxmlformats.org/officeDocument/2006/relationships/hyperlink" Target="http://ugskp15.ru/law/24-koap" TargetMode="External"/><Relationship Id="rId43" Type="http://schemas.openxmlformats.org/officeDocument/2006/relationships/hyperlink" Target="http://ugskp15.ru/law/27-fz2502032007" TargetMode="External"/><Relationship Id="rId48" Type="http://schemas.openxmlformats.org/officeDocument/2006/relationships/hyperlink" Target="http://ugskp15.ru/law/30-ukazrso31330112009" TargetMode="External"/><Relationship Id="rId8" Type="http://schemas.openxmlformats.org/officeDocument/2006/relationships/hyperlink" Target="http://ugskp15.ru/law/25-ukr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2266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2014-09-02T20:38:00Z</dcterms:created>
  <dcterms:modified xsi:type="dcterms:W3CDTF">2014-09-02T20:40:00Z</dcterms:modified>
</cp:coreProperties>
</file>